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10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oter9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17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402"/>
        <w:gridCol w:w="3545"/>
      </w:tblGrid>
      <w:tr>
        <w:tblPrEx/>
        <w:trPr>
          <w:trHeight w:val="1470"/>
        </w:trPr>
        <w:tc>
          <w:tcPr>
            <w:gridSpan w:val="3"/>
            <w:tcBorders>
              <w:top w:val="single" w:color="000000" w:sz="24" w:space="0"/>
              <w:left w:val="none" w:color="000000" w:sz="4" w:space="0"/>
              <w:bottom w:val="single" w:color="000000" w:sz="2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81" w:type="dxa"/>
            <w:vAlign w:val="center"/>
            <w:textDirection w:val="lrTb"/>
            <w:noWrap w:val="false"/>
          </w:tcPr>
          <w:p>
            <w:pPr>
              <w:ind w:firstLine="709"/>
              <w:jc w:val="center"/>
              <w:spacing w:before="160" w:after="80" w:line="419" w:lineRule="atLeast"/>
              <w:rPr>
                <w:rFonts w:eastAsia="Arial"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ans" w:asciiTheme="majorHAnsi" w:hAnsiTheme="majorHAnsi" w:cstheme="majorHAnsi"/>
                <w:color w:val="000000"/>
              </w:rPr>
              <w:t xml:space="preserve"> </w:t>
            </w:r>
            <w:r>
              <w:rPr>
                <w:rFonts w:eastAsia="Arial" w:asciiTheme="majorHAnsi" w:hAnsiTheme="majorHAnsi" w:cstheme="majorHAnsi"/>
                <w:b/>
                <w:color w:val="000000"/>
                <w:sz w:val="24"/>
              </w:rPr>
              <w:t xml:space="preserve">ФЕДЕРАЛЬНОЕ АГЕНТСТВО</w:t>
            </w:r>
            <w:r>
              <w:rPr>
                <w:rFonts w:eastAsia="Arial" w:asciiTheme="majorHAnsi" w:hAnsiTheme="majorHAnsi" w:cstheme="majorHAnsi"/>
                <w:b/>
                <w:color w:val="000000"/>
                <w:sz w:val="24"/>
              </w:rPr>
              <w:br/>
              <w:t xml:space="preserve">  ПО ТЕХНИЧЕСКОМУ РЕГУЛИРОВАНИЮ И МЕТРОЛОГИИ</w:t>
            </w: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7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2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5" w:type="dxa"/>
            <w:vAlign w:val="center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276225</wp:posOffset>
                      </wp:positionV>
                      <wp:extent cx="1578239" cy="1186886"/>
                      <wp:effectExtent l="0" t="0" r="0" b="0"/>
                      <wp:wrapSquare wrapText="bothSides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9465150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78238" cy="11868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048;o:allowoverlap:true;o:allowincell:true;mso-position-horizontal-relative:text;margin-left:-5.40pt;mso-position-horizontal:absolute;mso-position-vertical-relative:text;margin-top:21.75pt;mso-position-vertical:absolute;width:124.27pt;height:93.46pt;mso-wrap-distance-left:9.07pt;mso-wrap-distance-top:0.00pt;mso-wrap-distance-right:9.07pt;mso-wrap-distance-bottom:0.00pt;" stroked="false">
                      <v:path textboxrect="0,0,0,0"/>
                      <w10:wrap type="square"/>
                      <v:imagedata r:id="rId28" o:title=""/>
                    </v:shape>
                  </w:pict>
                </mc:Fallback>
              </mc:AlternateContent>
            </w:r>
            <w:r/>
          </w:p>
          <w:p>
            <w:pPr>
              <w:contextualSpacing/>
              <w:ind w:firstLine="709"/>
              <w:jc w:val="both"/>
              <w:spacing w:before="160" w:after="80" w:line="419" w:lineRule="atLeast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2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10" w:lineRule="atLeast"/>
              <w:shd w:val="clear" w:color="ffffff" w:fill="ffffff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pacing w:val="37"/>
                <w:sz w:val="24"/>
              </w:rPr>
              <w:t xml:space="preserve">ПРЕДВАРИТЕЛЬНЫЙ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jc w:val="center"/>
              <w:spacing w:line="310" w:lineRule="atLeast"/>
              <w:shd w:val="clear" w:color="ffffff" w:fill="ffffff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pacing w:val="37"/>
                <w:sz w:val="24"/>
              </w:rPr>
              <w:t xml:space="preserve">НАЦИОНАЛЬНЫЙ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jc w:val="center"/>
              <w:spacing w:line="310" w:lineRule="atLeast"/>
              <w:shd w:val="clear" w:color="ffffff" w:fill="ffffff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pacing w:val="38"/>
                <w:sz w:val="24"/>
              </w:rPr>
              <w:t xml:space="preserve">СТАНДАРТ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jc w:val="center"/>
              <w:spacing w:line="310" w:lineRule="atLeast"/>
              <w:shd w:val="clear" w:color="ffffff" w:fill="ffffff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pacing w:val="38"/>
                <w:sz w:val="24"/>
              </w:rPr>
              <w:t xml:space="preserve">РОССИЙСКОЙ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jc w:val="center"/>
              <w:spacing w:line="310" w:lineRule="atLeast"/>
              <w:shd w:val="clear" w:color="ffffff" w:fill="ffffff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pacing w:val="79"/>
                <w:sz w:val="24"/>
              </w:rPr>
              <w:t xml:space="preserve">ФЕДЕРАЦИИ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2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45" w:type="dxa"/>
            <w:textDirection w:val="lrTb"/>
            <w:noWrap w:val="false"/>
          </w:tcPr>
          <w:p>
            <w:pPr>
              <w:contextualSpacing/>
              <w:jc w:val="center"/>
              <w:spacing w:before="80" w:line="419" w:lineRule="atLeast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jc w:val="center"/>
              <w:spacing w:before="80" w:line="419" w:lineRule="atLeast"/>
              <w:rPr>
                <w:rFonts w:eastAsia="Arial" w:asciiTheme="majorHAnsi" w:hAnsiTheme="majorHAnsi" w:cstheme="majorHAnsi"/>
                <w:b/>
                <w:bCs/>
                <w:color w:val="000000"/>
                <w:sz w:val="36"/>
                <w:szCs w:val="3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36"/>
              </w:rPr>
              <w:t xml:space="preserve">ПНСТ _____</w:t>
            </w: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36"/>
                <w:szCs w:val="36"/>
              </w:rPr>
            </w: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36"/>
                <w:szCs w:val="36"/>
              </w:rPr>
            </w:r>
          </w:p>
          <w:p>
            <w:pPr>
              <w:contextualSpacing/>
              <w:ind w:firstLine="709"/>
              <w:spacing w:before="80" w:line="419" w:lineRule="atLeast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32"/>
              </w:rPr>
              <w:t xml:space="preserve">(</w:t>
            </w:r>
            <w:r>
              <w:rPr>
                <w:rFonts w:eastAsia="Arial" w:asciiTheme="majorHAnsi" w:hAnsiTheme="majorHAnsi" w:cstheme="majorHAnsi"/>
                <w:i/>
                <w:color w:val="000000"/>
                <w:sz w:val="32"/>
              </w:rPr>
              <w:t xml:space="preserve">концепция</w:t>
            </w:r>
            <w:r>
              <w:rPr>
                <w:rFonts w:eastAsia="Arial" w:asciiTheme="majorHAnsi" w:hAnsiTheme="majorHAnsi" w:cstheme="majorHAnsi"/>
                <w:color w:val="000000"/>
                <w:sz w:val="32"/>
              </w:rPr>
              <w:t xml:space="preserve">)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Liberation Sans" w:asciiTheme="majorHAnsi" w:hAnsiTheme="majorHAnsi" w:cstheme="majorHAnsi"/>
          <w:color w:val="1a1a1a"/>
          <w:sz w:val="23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Liberation Sans" w:asciiTheme="majorHAnsi" w:hAnsiTheme="majorHAnsi" w:cstheme="majorHAnsi"/>
          <w:color w:val="1a1a1a"/>
          <w:sz w:val="23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Liberation Sans" w:asciiTheme="majorHAnsi" w:hAnsiTheme="majorHAnsi" w:cstheme="majorHAnsi"/>
          <w:color w:val="1a1a1a"/>
          <w:sz w:val="23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center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1a1a1a"/>
          <w:sz w:val="36"/>
        </w:rPr>
        <w:t xml:space="preserve">Требования к цифровым информационным моделям объектов непроизводственного назначения на этапе строительства 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1a1a1a"/>
          <w:sz w:val="36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tabs>
          <w:tab w:val="left" w:pos="3773" w:leader="none"/>
        </w:tabs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1a1a1a"/>
          <w:sz w:val="36"/>
        </w:rPr>
        <w:tab/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1a1a1a"/>
          <w:sz w:val="36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1a1a1a"/>
          <w:sz w:val="36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1a1a1a"/>
          <w:sz w:val="36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567"/>
        <w:spacing w:line="229" w:lineRule="atLeast"/>
        <w:rPr>
          <w:rFonts w:eastAsia="Arial" w:asciiTheme="majorHAnsi" w:hAnsiTheme="majorHAnsi" w:cstheme="majorHAnsi"/>
          <w:b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000000"/>
          <w:sz w:val="24"/>
        </w:rPr>
        <w:t xml:space="preserve">Настоящий проект стандарта не подлежит применению до его утверждения</w:t>
      </w:r>
      <w:r>
        <w:rPr>
          <w:rFonts w:eastAsia="Arial" w:asciiTheme="majorHAnsi" w:hAnsiTheme="majorHAnsi" w:cstheme="majorHAnsi"/>
          <w:b/>
          <w:color w:val="000000"/>
          <w:sz w:val="24"/>
        </w:rPr>
      </w:r>
      <w:r>
        <w:rPr>
          <w:rFonts w:eastAsia="Arial" w:asciiTheme="majorHAnsi" w:hAnsiTheme="majorHAnsi" w:cstheme="majorHAnsi"/>
          <w:b/>
          <w:color w:val="000000"/>
          <w:sz w:val="24"/>
        </w:rPr>
      </w:r>
    </w:p>
    <w:p>
      <w:pPr>
        <w:contextualSpacing/>
        <w:ind w:firstLine="1134"/>
        <w:jc w:val="center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1134"/>
        <w:jc w:val="center"/>
        <w:spacing w:line="229" w:lineRule="atLeast"/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</w:p>
    <w:p>
      <w:pPr>
        <w:contextualSpacing/>
        <w:ind w:firstLine="1134"/>
        <w:jc w:val="center"/>
        <w:spacing w:line="229" w:lineRule="atLeast"/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</w:p>
    <w:p>
      <w:pPr>
        <w:contextualSpacing/>
        <w:ind w:firstLine="1134"/>
        <w:jc w:val="center"/>
        <w:spacing w:line="229" w:lineRule="atLeast"/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</w:p>
    <w:p>
      <w:pPr>
        <w:contextualSpacing/>
        <w:ind w:firstLine="1134"/>
        <w:jc w:val="center"/>
        <w:spacing w:line="229" w:lineRule="atLeast"/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</w:p>
    <w:p>
      <w:pPr>
        <w:contextualSpacing/>
        <w:ind w:firstLine="1134"/>
        <w:jc w:val="center"/>
        <w:spacing w:line="229" w:lineRule="atLeast"/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</w:p>
    <w:p>
      <w:pPr>
        <w:contextualSpacing/>
        <w:ind w:firstLine="1134"/>
        <w:jc w:val="center"/>
        <w:spacing w:line="229" w:lineRule="atLeast"/>
        <w:rPr>
          <w:rFonts w:eastAsia="Arial" w:asciiTheme="majorHAnsi" w:hAnsiTheme="majorHAnsi" w:cstheme="majorHAnsi"/>
          <w:b/>
          <w:color w:val="1a1a1a"/>
          <w:sz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1a1a1a"/>
          <w:sz w:val="36"/>
        </w:rPr>
      </w:r>
      <w:r>
        <w:rPr>
          <w:rFonts w:eastAsia="Arial" w:asciiTheme="majorHAnsi" w:hAnsiTheme="majorHAnsi" w:cstheme="majorHAnsi"/>
          <w:b/>
          <w:color w:val="1a1a1a"/>
          <w:sz w:val="36"/>
        </w:rPr>
      </w:r>
      <w:r>
        <w:rPr>
          <w:rFonts w:eastAsia="Arial" w:asciiTheme="majorHAnsi" w:hAnsiTheme="majorHAnsi" w:cstheme="majorHAnsi"/>
          <w:b/>
          <w:color w:val="1a1a1a"/>
          <w:sz w:val="36"/>
        </w:rPr>
      </w:r>
    </w:p>
    <w:p>
      <w:pPr>
        <w:contextualSpacing/>
        <w:ind w:firstLine="1134"/>
        <w:jc w:val="center"/>
        <w:spacing w:line="229" w:lineRule="atLeast"/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</w:p>
    <w:p>
      <w:pPr>
        <w:contextualSpacing/>
        <w:ind w:firstLine="1134"/>
        <w:jc w:val="center"/>
        <w:spacing w:line="229" w:lineRule="atLeast"/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  <w:r>
        <w:rPr>
          <w:rFonts w:eastAsia="Arial" w:asciiTheme="majorHAnsi" w:hAnsiTheme="majorHAnsi" w:cstheme="majorHAnsi"/>
          <w:b/>
          <w:bCs/>
          <w:color w:val="1a1a1a"/>
          <w:sz w:val="36"/>
          <w:szCs w:val="36"/>
        </w:rPr>
      </w:r>
    </w:p>
    <w:p>
      <w:pPr>
        <w:contextualSpacing/>
        <w:ind w:firstLine="283"/>
        <w:jc w:val="center"/>
        <w:spacing w:line="419" w:lineRule="atLeast"/>
        <w:rPr>
          <w:rFonts w:asciiTheme="majorHAnsi" w:hAnsiTheme="majorHAnsi" w:cstheme="majorHAnsi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000000"/>
          <w:sz w:val="22"/>
          <w:szCs w:val="22"/>
        </w:rPr>
        <w:t xml:space="preserve">Москва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283"/>
        <w:jc w:val="center"/>
        <w:rPr>
          <w:rFonts w:asciiTheme="majorHAnsi" w:hAnsiTheme="majorHAnsi" w:cstheme="majorHAnsi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color w:val="000000"/>
          <w:sz w:val="22"/>
          <w:szCs w:val="22"/>
        </w:rPr>
        <w:t xml:space="preserve">Российский институт стандартизации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283"/>
        <w:jc w:val="center"/>
        <w:spacing w:line="229" w:lineRule="atLeast"/>
        <w:rPr>
          <w:rFonts w:eastAsia="Arial" w:asciiTheme="majorHAnsi" w:hAnsiTheme="majorHAnsi" w:cstheme="majorHAnsi"/>
          <w:b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headerReference w:type="default" r:id="rId9"/>
          <w:headerReference w:type="even" r:id="rId10"/>
          <w:headerReference w:type="first" r:id="rId11"/>
          <w:footerReference w:type="default" r:id="rId16"/>
          <w:footerReference w:type="even" r:id="rId17"/>
          <w:footerReference w:type="first" r:id="rId18"/>
          <w:footnotePr/>
          <w:endnotePr/>
          <w:type w:val="nextPage"/>
          <w:pgSz w:w="11906" w:h="16838" w:orient="portrait"/>
          <w:pgMar w:top="1276" w:right="991" w:bottom="1134" w:left="1134" w:header="709" w:footer="709" w:gutter="0"/>
          <w:pgNumType w:start="1"/>
          <w:cols w:num="1" w:sep="0" w:space="708" w:equalWidth="1"/>
          <w:docGrid w:linePitch="360"/>
        </w:sectPr>
      </w:pPr>
      <w:r>
        <w:rPr>
          <w:rFonts w:eastAsia="Arial" w:asciiTheme="majorHAnsi" w:hAnsiTheme="majorHAnsi" w:cstheme="majorHAnsi"/>
          <w:b/>
          <w:color w:val="000000"/>
          <w:sz w:val="22"/>
          <w:szCs w:val="22"/>
        </w:rPr>
        <w:t xml:space="preserve">2026</w:t>
      </w:r>
      <w:r>
        <w:rPr>
          <w:rFonts w:eastAsia="Arial" w:asciiTheme="majorHAnsi" w:hAnsiTheme="majorHAnsi" w:cstheme="majorHAnsi"/>
          <w:b/>
          <w:color w:val="000000"/>
          <w:sz w:val="22"/>
          <w:szCs w:val="22"/>
        </w:rPr>
      </w:r>
      <w:r>
        <w:rPr>
          <w:rFonts w:eastAsia="Arial" w:asciiTheme="majorHAnsi" w:hAnsiTheme="majorHAnsi" w:cstheme="majorHAnsi"/>
          <w:b/>
          <w:color w:val="000000"/>
          <w:sz w:val="22"/>
          <w:szCs w:val="22"/>
        </w:rPr>
      </w:r>
    </w:p>
    <w:p>
      <w:pPr>
        <w:contextualSpacing/>
        <w:ind w:firstLine="709"/>
        <w:jc w:val="center"/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pP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  <w:t xml:space="preserve">Предисловие </w:t>
      </w: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pP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pPr>
      <w:r>
        <w:rPr>
          <w:rFonts w:eastAsia="Arial" w:asciiTheme="majorHAnsi" w:hAnsiTheme="majorHAnsi" w:cstheme="majorHAnsi"/>
          <w:color w:val="1a1a1a"/>
          <w:sz w:val="24"/>
          <w:szCs w:val="24"/>
        </w:rPr>
        <w:t xml:space="preserve">1 РАЗРАБОТАН Департаментом градостроительной политики города Москвы</w:t>
      </w: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bCs/>
          <w:color w:val="1a1a1a"/>
          <w:sz w:val="24"/>
          <w:szCs w:val="24"/>
        </w:rPr>
      </w:pPr>
      <w:r>
        <w:rPr>
          <w:rFonts w:eastAsia="Arial" w:asciiTheme="majorHAnsi" w:hAnsiTheme="majorHAnsi" w:cstheme="majorHAnsi"/>
          <w:color w:val="1a1a1a"/>
          <w:sz w:val="24"/>
          <w:szCs w:val="24"/>
        </w:rPr>
        <w:t xml:space="preserve">2 ВНЕСЕН Техническим комитетом по стандартизации ТК 505 «Информационное моделирование»</w:t>
      </w:r>
      <w:r>
        <w:rPr>
          <w:rFonts w:eastAsia="Arial" w:asciiTheme="majorHAnsi" w:hAnsiTheme="majorHAnsi" w:cstheme="majorHAnsi"/>
          <w:bCs/>
          <w:color w:val="1a1a1a"/>
          <w:sz w:val="24"/>
          <w:szCs w:val="24"/>
        </w:rPr>
      </w:r>
      <w:r>
        <w:rPr>
          <w:rFonts w:eastAsia="Arial" w:asciiTheme="majorHAnsi" w:hAnsiTheme="majorHAnsi" w:cstheme="majorHAnsi"/>
          <w:bCs/>
          <w:color w:val="1a1a1a"/>
          <w:sz w:val="24"/>
          <w:szCs w:val="24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1a1a1a"/>
          <w:sz w:val="24"/>
          <w:szCs w:val="24"/>
        </w:rPr>
      </w:pPr>
      <w:r>
        <w:rPr>
          <w:rFonts w:eastAsia="Arial" w:asciiTheme="majorHAnsi" w:hAnsiTheme="majorHAnsi" w:cstheme="majorHAnsi"/>
          <w:color w:val="1a1a1a"/>
          <w:sz w:val="24"/>
          <w:szCs w:val="24"/>
        </w:rPr>
        <w:t xml:space="preserve">3 УТВЕРЖДЕН И ВВЕДЕН В ДЕЙСТВИЕ Приказом Федерального агентства по техническому регулированию и метрологии от </w:t>
      </w:r>
      <w:r>
        <w:rPr>
          <w:rFonts w:ascii="Arial" w:hAnsi="Arial" w:eastAsia="Arial" w:cs="Arial"/>
          <w:color w:val="000000"/>
          <w:sz w:val="24"/>
        </w:rPr>
        <w:t xml:space="preserve">            №      -</w:t>
      </w:r>
      <w:r>
        <w:rPr>
          <w:rFonts w:ascii="Arial" w:hAnsi="Arial" w:eastAsia="Arial" w:cs="Arial"/>
          <w:color w:val="000000"/>
          <w:sz w:val="24"/>
        </w:rPr>
        <w:t xml:space="preserve">ст</w:t>
      </w:r>
      <w:r>
        <w:rPr>
          <w:rFonts w:ascii="Arial" w:hAnsi="Arial" w:eastAsia="Arial" w:cs="Arial"/>
          <w:color w:val="000000"/>
          <w:sz w:val="24"/>
        </w:rPr>
        <w:t xml:space="preserve"> __</w:t>
      </w:r>
      <w:r>
        <w:rPr>
          <w:rFonts w:eastAsia="Arial" w:asciiTheme="majorHAnsi" w:hAnsiTheme="majorHAnsi" w:cstheme="majorHAnsi"/>
          <w:color w:val="1a1a1a"/>
          <w:sz w:val="24"/>
          <w:szCs w:val="24"/>
        </w:rPr>
      </w:r>
      <w:r>
        <w:rPr>
          <w:rFonts w:eastAsia="Arial" w:asciiTheme="majorHAnsi" w:hAnsiTheme="majorHAnsi" w:cstheme="majorHAnsi"/>
          <w:color w:val="1a1a1a"/>
          <w:sz w:val="24"/>
          <w:szCs w:val="24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1a1a1a"/>
          <w:sz w:val="24"/>
          <w:szCs w:val="24"/>
        </w:rPr>
      </w:pPr>
      <w:r>
        <w:rPr>
          <w:rFonts w:eastAsia="Arial" w:asciiTheme="majorHAnsi" w:hAnsiTheme="majorHAnsi" w:cstheme="majorHAnsi"/>
          <w:color w:val="1a1a1a"/>
          <w:sz w:val="24"/>
          <w:szCs w:val="24"/>
        </w:rPr>
        <w:t xml:space="preserve">4 ВВЕДЕН ВПЕРВЫЕ</w:t>
      </w:r>
      <w:r>
        <w:rPr>
          <w:rFonts w:eastAsia="Arial" w:asciiTheme="majorHAnsi" w:hAnsiTheme="majorHAnsi" w:cstheme="majorHAnsi"/>
          <w:color w:val="1a1a1a"/>
          <w:sz w:val="24"/>
          <w:szCs w:val="24"/>
        </w:rPr>
      </w:r>
      <w:r>
        <w:rPr>
          <w:rFonts w:eastAsia="Arial" w:asciiTheme="majorHAnsi" w:hAnsiTheme="majorHAnsi" w:cstheme="majorHAnsi"/>
          <w:color w:val="1a1a1a"/>
          <w:sz w:val="24"/>
          <w:szCs w:val="24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pPr>
      <w:r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r>
      <w:r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r>
      <w:r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pPr>
      <w:r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r>
      <w:r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r>
      <w:r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pPr>
      <w:r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r>
      <w:r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r>
      <w:r>
        <w:rPr>
          <w:rFonts w:asciiTheme="majorHAnsi" w:hAnsiTheme="majorHAnsi" w:cstheme="majorHAnsi"/>
          <w:bCs/>
          <w:i/>
          <w:color w:val="1a1a1a"/>
          <w:sz w:val="22"/>
          <w:szCs w:val="22"/>
          <w:highlight w:val="yellow"/>
        </w:rPr>
      </w:r>
    </w:p>
    <w:p>
      <w:pPr>
        <w:contextualSpacing/>
        <w:ind w:firstLine="709"/>
        <w:jc w:val="both"/>
        <w:spacing w:line="360" w:lineRule="auto"/>
        <w:tabs>
          <w:tab w:val="left" w:pos="567" w:leader="none"/>
          <w:tab w:val="left" w:pos="1417" w:leader="none"/>
          <w:tab w:val="left" w:pos="2976" w:leader="none"/>
        </w:tabs>
        <w:rPr>
          <w:rFonts w:asciiTheme="majorHAnsi" w:hAnsiTheme="majorHAnsi" w:cstheme="majorHAnsi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i/>
          <w:iCs/>
          <w:color w:val="000000"/>
          <w:sz w:val="24"/>
          <w:szCs w:val="24"/>
        </w:rPr>
        <w:t xml:space="preserve">Правила</w:t>
      </w:r>
      <w:r>
        <w:rPr>
          <w:rFonts w:eastAsia="Arial" w:asciiTheme="majorHAnsi" w:hAnsiTheme="majorHAnsi" w:cstheme="majorHAnsi"/>
          <w:i/>
          <w:color w:val="000000"/>
          <w:sz w:val="24"/>
        </w:rPr>
        <w:t xml:space="preserve"> применения настоящего стандарта и проведения его мониторинга установлены в ГОСТ Р 1.16-2011 (</w:t>
      </w:r>
      <w:hyperlink r:id="rId29" w:tooltip="consultantplus://offline/ref=5F06141BE8CC7611D30E82D9358FD29CC166C4708926DBFF6443292777FD996D747F55F5195FAE81376EA14919375CF6D7067C55ED77A2q2f0K" w:history="1">
        <w:r>
          <w:rPr>
            <w:rStyle w:val="1317"/>
            <w:rFonts w:eastAsia="Arial" w:asciiTheme="majorHAnsi" w:hAnsiTheme="majorHAnsi" w:cstheme="majorHAnsi"/>
            <w:i/>
            <w:color w:val="000000"/>
            <w:sz w:val="24"/>
          </w:rPr>
          <w:t xml:space="preserve">разделы 5</w:t>
        </w:r>
      </w:hyperlink>
      <w:r>
        <w:rPr>
          <w:rFonts w:eastAsia="Arial" w:asciiTheme="majorHAnsi" w:hAnsiTheme="majorHAnsi" w:cstheme="majorHAnsi"/>
          <w:i/>
          <w:color w:val="000000"/>
          <w:sz w:val="24"/>
        </w:rPr>
        <w:t xml:space="preserve"> и </w:t>
      </w:r>
      <w:hyperlink r:id="rId30" w:tooltip="consultantplus://offline/ref=5F06141BE8CC7611D30E82D9358FD29CC166C4708926DBFF6443292777FD996D747F55F5195FA88B376EA14919375CF6D7067C55ED77A2q2f0K" w:history="1">
        <w:r>
          <w:rPr>
            <w:rStyle w:val="1317"/>
            <w:rFonts w:eastAsia="Arial" w:asciiTheme="majorHAnsi" w:hAnsiTheme="majorHAnsi" w:cstheme="majorHAnsi"/>
            <w:i/>
            <w:color w:val="000000"/>
            <w:sz w:val="24"/>
          </w:rPr>
          <w:t xml:space="preserve">6</w:t>
        </w:r>
      </w:hyperlink>
      <w:r>
        <w:rPr>
          <w:rFonts w:eastAsia="Arial" w:asciiTheme="majorHAnsi" w:hAnsiTheme="majorHAnsi" w:cstheme="majorHAnsi"/>
          <w:i/>
          <w:color w:val="000000"/>
          <w:sz w:val="24"/>
        </w:rPr>
        <w:t xml:space="preserve">).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360" w:lineRule="auto"/>
        <w:tabs>
          <w:tab w:val="left" w:pos="567" w:leader="none"/>
          <w:tab w:val="left" w:pos="1417" w:leader="none"/>
          <w:tab w:val="left" w:pos="2976" w:leader="none"/>
        </w:tabs>
        <w:rPr>
          <w:rFonts w:eastAsia="Arial" w:asciiTheme="majorHAnsi" w:hAnsiTheme="majorHAnsi" w:cstheme="majorHAnsi"/>
          <w:bCs/>
          <w:i/>
          <w:color w:val="000000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i/>
          <w:color w:val="000000"/>
          <w:sz w:val="24"/>
        </w:rPr>
        <w:t xml:space="preserve">Федеральный орган исполнительной власти в сфере стандартизации собирает сведения о практическом применении настоящего стандарта. Данные сведения, а также замечания и</w:t>
      </w:r>
      <w:r>
        <w:rPr>
          <w:rFonts w:eastAsia="Arial" w:asciiTheme="majorHAnsi" w:hAnsiTheme="majorHAnsi" w:cstheme="majorHAnsi"/>
          <w:i/>
          <w:iCs/>
          <w:color w:val="000000"/>
          <w:sz w:val="24"/>
          <w:szCs w:val="24"/>
        </w:rPr>
        <w:t xml:space="preserve"> предложения по содержанию стандарта можно направить не позднее чем за 4 месяца до истечения срока его действия разработчику настоящего стандарта по адресу: 125009, г. Москва, пер. Никитский, д.5, стр.6 1 и/или в федеральный орган исполнительной власти</w:t>
      </w:r>
      <w:r>
        <w:rPr>
          <w:rFonts w:ascii="Arial" w:hAnsi="Arial" w:eastAsia="Arial" w:cs="Arial"/>
          <w:color w:val="000000"/>
          <w:sz w:val="24"/>
        </w:rPr>
        <w:t xml:space="preserve"> </w:t>
      </w:r>
      <w:r>
        <w:rPr>
          <w:rFonts w:eastAsia="Arial" w:asciiTheme="majorHAnsi" w:hAnsiTheme="majorHAnsi" w:cstheme="majorHAnsi"/>
          <w:i/>
          <w:iCs/>
          <w:color w:val="000000"/>
          <w:sz w:val="24"/>
          <w:szCs w:val="24"/>
        </w:rPr>
        <w:t xml:space="preserve">в</w:t>
      </w:r>
      <w:r>
        <w:rPr>
          <w:rFonts w:ascii="Arial" w:hAnsi="Arial" w:eastAsia="Arial" w:cs="Arial"/>
          <w:color w:val="000000"/>
          <w:sz w:val="24"/>
        </w:rPr>
        <w:t xml:space="preserve"> </w:t>
      </w:r>
      <w:r>
        <w:rPr>
          <w:rFonts w:eastAsia="Arial" w:asciiTheme="majorHAnsi" w:hAnsiTheme="majorHAnsi" w:cstheme="majorHAnsi"/>
          <w:i/>
          <w:iCs/>
          <w:color w:val="000000"/>
          <w:sz w:val="24"/>
          <w:szCs w:val="24"/>
        </w:rPr>
        <w:t xml:space="preserve">сфере</w:t>
      </w:r>
      <w:r>
        <w:rPr>
          <w:rFonts w:ascii="Arial" w:hAnsi="Arial" w:eastAsia="Arial" w:cs="Arial"/>
          <w:color w:val="000000"/>
          <w:sz w:val="24"/>
        </w:rPr>
        <w:t xml:space="preserve"> </w:t>
      </w:r>
      <w:r>
        <w:rPr>
          <w:rFonts w:eastAsia="Arial" w:asciiTheme="majorHAnsi" w:hAnsiTheme="majorHAnsi" w:cstheme="majorHAnsi"/>
          <w:i/>
          <w:iCs/>
          <w:color w:val="000000"/>
          <w:sz w:val="24"/>
          <w:szCs w:val="24"/>
        </w:rPr>
        <w:t xml:space="preserve">стандартизации </w:t>
      </w:r>
      <w:r>
        <w:rPr>
          <w:rFonts w:eastAsia="Arial" w:asciiTheme="majorHAnsi" w:hAnsiTheme="majorHAnsi" w:cstheme="majorHAnsi"/>
          <w:i/>
          <w:iCs/>
          <w:color w:val="000000"/>
          <w:sz w:val="24"/>
          <w:szCs w:val="24"/>
        </w:rPr>
        <w:br/>
        <w:t xml:space="preserve">по адресу: 123112, г. Москва, Пресненская наб., д. 10, стр. 2, Федеральное агентство по техническому регулированию и метрологии (Росстандарт).</w:t>
      </w:r>
      <w:r>
        <w:rPr>
          <w:rFonts w:eastAsia="Arial" w:asciiTheme="majorHAnsi" w:hAnsiTheme="majorHAnsi" w:cstheme="majorHAnsi"/>
          <w:bCs/>
          <w:i/>
          <w:color w:val="000000"/>
          <w:sz w:val="24"/>
          <w:szCs w:val="24"/>
        </w:rPr>
      </w:r>
      <w:r>
        <w:rPr>
          <w:rFonts w:eastAsia="Arial" w:asciiTheme="majorHAnsi" w:hAnsiTheme="majorHAnsi" w:cstheme="majorHAnsi"/>
          <w:bCs/>
          <w:i/>
          <w:color w:val="000000"/>
          <w:sz w:val="24"/>
          <w:szCs w:val="24"/>
        </w:rPr>
      </w:r>
    </w:p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i/>
          <w:color w:val="000000"/>
          <w:sz w:val="24"/>
        </w:rPr>
        <w:t xml:space="preserve">В случае отмены настоящего стан</w:t>
      </w:r>
      <w:r>
        <w:rPr>
          <w:rFonts w:eastAsia="Arial" w:asciiTheme="majorHAnsi" w:hAnsiTheme="majorHAnsi" w:cstheme="majorHAnsi"/>
          <w:i/>
          <w:color w:val="000000"/>
          <w:sz w:val="24"/>
        </w:rPr>
        <w:t xml:space="preserve">дарта соответствующая информация будет опубликована в ежемесячном информационном указателе "Национальные стандарты" и также будет размещена на официальном сайте федерального органа исполнительной власти в сфере стандартизации в сети Интернет (www.gost.ru).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jc w:val="both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ind w:left="567" w:firstLine="567"/>
        <w:jc w:val="right"/>
        <w:spacing w:before="240"/>
        <w:widowControl w:val="off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© Оформление. ФГБУ «Институт стандартизации», 2026</w:t>
      </w:r>
      <w:r>
        <w:rPr>
          <w:rFonts w:ascii="Arial" w:hAnsi="Arial" w:cs="Arial"/>
          <w:sz w:val="24"/>
          <w:szCs w:val="24"/>
          <w:lang w:eastAsia="ru-RU"/>
        </w:rPr>
      </w:r>
      <w:r>
        <w:rPr>
          <w:rFonts w:ascii="Arial" w:hAnsi="Arial" w:cs="Arial"/>
          <w:sz w:val="24"/>
          <w:szCs w:val="24"/>
          <w:lang w:eastAsia="ru-RU"/>
        </w:rPr>
      </w:r>
    </w:p>
    <w:p>
      <w:pPr>
        <w:ind w:firstLine="567"/>
        <w:jc w:val="both"/>
        <w:spacing w:before="240"/>
        <w:widowControl w:val="off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  <w:r>
        <w:rPr>
          <w:rFonts w:ascii="Arial" w:hAnsi="Arial" w:cs="Arial"/>
          <w:sz w:val="24"/>
          <w:szCs w:val="24"/>
          <w:lang w:eastAsia="ru-RU"/>
        </w:rPr>
      </w:r>
      <w:r>
        <w:rPr>
          <w:rFonts w:ascii="Arial" w:hAnsi="Arial" w:cs="Arial"/>
          <w:sz w:val="24"/>
          <w:szCs w:val="24"/>
          <w:lang w:eastAsia="ru-RU"/>
        </w:rPr>
      </w:r>
    </w:p>
    <w:p>
      <w:pPr>
        <w:ind w:left="567" w:firstLine="567"/>
        <w:jc w:val="right"/>
        <w:spacing w:before="240"/>
        <w:widowControl w:val="off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</w:r>
      <w:r>
        <w:rPr>
          <w:rFonts w:ascii="Arial" w:hAnsi="Arial" w:cs="Arial"/>
          <w:sz w:val="24"/>
          <w:szCs w:val="24"/>
          <w:lang w:eastAsia="ru-RU"/>
        </w:rPr>
      </w:r>
      <w:r>
        <w:rPr>
          <w:rFonts w:ascii="Arial" w:hAnsi="Arial" w:cs="Arial"/>
          <w:sz w:val="24"/>
          <w:szCs w:val="24"/>
          <w:lang w:eastAsia="ru-RU"/>
        </w:rPr>
      </w:r>
    </w:p>
    <w:p>
      <w:pPr>
        <w:rPr>
          <w:rFonts w:eastAsia="Arial"/>
        </w:rPr>
      </w:pPr>
      <w:r>
        <w:rPr>
          <w:rFonts w:eastAsia="Arial"/>
        </w:rPr>
      </w:r>
      <w:r>
        <w:rPr>
          <w:rFonts w:eastAsia="Arial"/>
        </w:rPr>
      </w:r>
      <w:r>
        <w:rPr>
          <w:rFonts w:eastAsia="Arial"/>
        </w:rPr>
      </w:r>
    </w:p>
    <w:p>
      <w:pPr>
        <w:rPr>
          <w:rFonts w:eastAsia="Arial"/>
        </w:rPr>
      </w:pPr>
      <w:r>
        <w:rPr>
          <w:rFonts w:eastAsia="Arial"/>
        </w:rPr>
      </w:r>
      <w:r>
        <w:rPr>
          <w:rFonts w:eastAsia="Arial"/>
        </w:rPr>
      </w:r>
      <w:r>
        <w:rPr>
          <w:rFonts w:eastAsia="Arial"/>
        </w:rPr>
      </w:r>
    </w:p>
    <w:p>
      <w:pPr>
        <w:rPr>
          <w:rFonts w:eastAsia="Arial"/>
        </w:rPr>
      </w:pPr>
      <w:r>
        <w:rPr>
          <w:rFonts w:eastAsia="Arial"/>
        </w:rPr>
      </w:r>
      <w:r>
        <w:rPr>
          <w:rFonts w:eastAsia="Arial"/>
        </w:rPr>
      </w:r>
      <w:r>
        <w:rPr>
          <w:rFonts w:eastAsia="Arial"/>
        </w:rPr>
      </w:r>
    </w:p>
    <w:sdt>
      <w:sdtPr>
        <w15:appearance w15:val="boundingBox"/>
        <w:id w:val="-1759816373"/>
        <w:docPartObj>
          <w:docPartGallery w:val="Table of Contents"/>
          <w:docPartUnique w:val="true"/>
        </w:docPartObj>
        <w:rPr>
          <w:rFonts w:eastAsia="Arial" w:asciiTheme="majorHAnsi" w:hAnsiTheme="majorHAnsi" w:cstheme="majorHAnsi"/>
          <w:b/>
          <w:color w:val="000000" w:themeColor="text1"/>
          <w:sz w:val="24"/>
          <w:szCs w:val="24"/>
        </w:rPr>
      </w:sdtPr>
      <w:sdtContent>
        <w:p>
          <w:pPr>
            <w:ind w:firstLine="567"/>
            <w:jc w:val="center"/>
            <w:spacing w:before="240"/>
            <w:rPr>
              <w:rStyle w:val="1317"/>
              <w:rFonts w:asciiTheme="majorHAnsi" w:hAnsiTheme="majorHAnsi" w:cstheme="majorHAnsi"/>
              <w:b/>
              <w:color w:val="000000" w:themeColor="text1"/>
              <w:sz w:val="28"/>
              <w:szCs w:val="24"/>
              <w:u w:val="none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</w:pPr>
          <w:r>
            <w:rPr>
              <w:rStyle w:val="1317"/>
              <w:rFonts w:asciiTheme="majorHAnsi" w:hAnsiTheme="majorHAnsi" w:cstheme="majorHAnsi"/>
              <w:b/>
              <w:color w:val="000000" w:themeColor="text1"/>
              <w:sz w:val="28"/>
              <w:szCs w:val="24"/>
              <w:u w:val="none"/>
            </w:rPr>
            <w:t xml:space="preserve">Содержание</w:t>
          </w:r>
          <w:r>
            <w:rPr>
              <w:rStyle w:val="1317"/>
              <w:rFonts w:asciiTheme="majorHAnsi" w:hAnsiTheme="majorHAnsi" w:cstheme="majorHAnsi"/>
              <w:b/>
              <w:color w:val="000000" w:themeColor="text1"/>
              <w:sz w:val="28"/>
              <w:szCs w:val="24"/>
              <w:u w:val="none"/>
            </w:rPr>
          </w:r>
          <w:r>
            <w:rPr>
              <w:rStyle w:val="1317"/>
              <w:rFonts w:asciiTheme="majorHAnsi" w:hAnsiTheme="majorHAnsi" w:cstheme="majorHAnsi"/>
              <w:b/>
              <w:color w:val="000000" w:themeColor="text1"/>
              <w:sz w:val="28"/>
              <w:szCs w:val="24"/>
              <w:u w:val="none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>
            <w:rPr>
              <w:rFonts w:eastAsia="Arial" w:asciiTheme="majorHAnsi" w:hAnsiTheme="majorHAnsi" w:cstheme="majorHAnsi"/>
              <w:b/>
              <w:color w:val="000000" w:themeColor="text1"/>
              <w:highlight w:val="white"/>
            </w:rPr>
            <w:fldChar w:fldCharType="begin"/>
          </w:r>
          <w:r>
            <w:rPr>
              <w:rFonts w:eastAsia="Arial" w:asciiTheme="majorHAnsi" w:hAnsiTheme="majorHAnsi" w:cstheme="majorHAnsi"/>
              <w:b/>
              <w:color w:val="000000" w:themeColor="text1"/>
              <w:highlight w:val="white"/>
            </w:rPr>
            <w:instrText xml:space="preserve">TOC \o "1-9" \h </w:instrText>
          </w:r>
          <w:r>
            <w:rPr>
              <w:rFonts w:eastAsia="Arial" w:asciiTheme="majorHAnsi" w:hAnsiTheme="majorHAnsi" w:cstheme="majorHAnsi"/>
              <w:b/>
              <w:color w:val="000000" w:themeColor="text1"/>
              <w:highlight w:val="white"/>
            </w:rPr>
            <w:fldChar w:fldCharType="separate"/>
          </w:r>
          <w:hyperlink w:tooltip="#_Toc223349989" w:anchor="_Toc223349989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Область применения</w:t>
            </w:r>
            <w:r>
              <w:tab/>
            </w:r>
            <w:r>
              <w:fldChar w:fldCharType="begin"/>
            </w:r>
            <w:r>
              <w:instrText xml:space="preserve"> PAGEREF _Toc223349989 \h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0" w:anchor="_Toc223349990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2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Нормативные ссылки</w:t>
            </w:r>
            <w:r>
              <w:tab/>
            </w:r>
            <w:r>
              <w:fldChar w:fldCharType="begin"/>
            </w:r>
            <w:r>
              <w:instrText xml:space="preserve"> PAGEREF _Toc223349990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1" w:anchor="_Toc223349991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3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Термины и определения</w:t>
            </w:r>
            <w:r>
              <w:tab/>
            </w:r>
            <w:r>
              <w:fldChar w:fldCharType="begin"/>
            </w:r>
            <w:r>
              <w:instrText xml:space="preserve"> PAGEREF _Toc223349991 \h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2" w:anchor="_Toc223349992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4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Сокращения</w:t>
            </w:r>
            <w:r>
              <w:tab/>
            </w:r>
            <w:r>
              <w:fldChar w:fldCharType="begin"/>
            </w:r>
            <w:r>
              <w:instrText xml:space="preserve"> PAGEREF _Toc223349992 \h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3" w:anchor="_Toc223349993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5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Общие требования к ЦИМ ОКС</w:t>
            </w:r>
            <w:r>
              <w:tab/>
            </w:r>
            <w:r>
              <w:fldChar w:fldCharType="begin"/>
            </w:r>
            <w:r>
              <w:instrText xml:space="preserve"> PAGEREF _Toc223349993 \h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4" w:anchor="_Toc223349994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6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Базовые процессы ведения исполнительной ЦИМ ОКС</w:t>
            </w:r>
            <w:r>
              <w:tab/>
            </w:r>
            <w:r>
              <w:fldChar w:fldCharType="begin"/>
            </w:r>
            <w:r>
              <w:instrText xml:space="preserve"> PAGEREF _Toc223349994 \h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5" w:anchor="_Toc223349995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7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Атрибутивный состав элементов исполнительной  ЦИМ ОКС</w:t>
            </w:r>
            <w:r>
              <w:tab/>
            </w:r>
            <w:r>
              <w:fldChar w:fldCharType="begin"/>
            </w:r>
            <w:r>
              <w:instrText xml:space="preserve"> PAGEREF _Toc223349995 \h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6" w:anchor="_Toc223349996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8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Состав работ с исполнительной ЦИМ ОКС</w:t>
            </w:r>
            <w:r>
              <w:tab/>
            </w:r>
            <w:r>
              <w:fldChar w:fldCharType="begin"/>
            </w:r>
            <w:r>
              <w:instrText xml:space="preserve"> PAGEREF _Toc223349996 \h </w:instrText>
            </w:r>
            <w:r>
              <w:fldChar w:fldCharType="separate"/>
            </w:r>
            <w:r>
              <w:t xml:space="preserve">20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7" w:anchor="_Toc223349997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9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Контроль качества исполнительной ЦИМ ОКС</w:t>
            </w:r>
            <w:r>
              <w:tab/>
            </w:r>
            <w:r>
              <w:fldChar w:fldCharType="begin"/>
            </w:r>
            <w:r>
              <w:instrText xml:space="preserve"> PAGEREF _Toc223349997 \h </w:instrText>
            </w:r>
            <w:r>
              <w:fldChar w:fldCharType="separate"/>
            </w:r>
            <w:r>
              <w:t xml:space="preserve">22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8" w:anchor="_Toc223349998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10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Формирование поисковых наборов ЦИМ ОКС</w:t>
            </w:r>
            <w:r>
              <w:tab/>
            </w:r>
            <w:r>
              <w:fldChar w:fldCharType="begin"/>
            </w:r>
            <w:r>
              <w:instrText xml:space="preserve"> PAGEREF _Toc223349998 \h </w:instrText>
            </w:r>
            <w:r>
              <w:fldChar w:fldCharType="separate"/>
            </w:r>
            <w:r>
              <w:t xml:space="preserve">23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49999" w:anchor="_Toc223349999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11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Формирование данных для разработки календарного плана на основе ЦИМ ОКС. 4</w:t>
            </w:r>
            <w:r>
              <w:rPr>
                <w:rStyle w:val="1317"/>
                <w:rFonts w:eastAsia="Arial" w:asciiTheme="majorHAnsi" w:hAnsiTheme="majorHAnsi" w:cstheme="majorHAnsi"/>
                <w:lang w:val="en-US"/>
              </w:rPr>
              <w:t xml:space="preserve">D</w:t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-моделирование</w:t>
            </w:r>
            <w:r>
              <w:tab/>
            </w:r>
            <w:r>
              <w:fldChar w:fldCharType="begin"/>
            </w:r>
            <w:r>
              <w:instrText xml:space="preserve"> PAGEREF _Toc223349999 \h </w:instrText>
            </w:r>
            <w:r>
              <w:fldChar w:fldCharType="separate"/>
            </w:r>
            <w:r>
              <w:t xml:space="preserve">29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850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0" w:anchor="_Toc223350000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11.1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Формирование цифровой ведомости объемов работ  для 4D-модели</w:t>
            </w:r>
            <w:r>
              <w:tab/>
            </w:r>
            <w:r>
              <w:fldChar w:fldCharType="begin"/>
            </w:r>
            <w:r>
              <w:instrText xml:space="preserve"> PAGEREF _Toc223350000 \h </w:instrText>
            </w:r>
            <w:r>
              <w:fldChar w:fldCharType="separate"/>
            </w:r>
            <w:r>
              <w:t xml:space="preserve">29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850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1" w:anchor="_Toc223350001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11.2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Формирование КСГ</w:t>
            </w:r>
            <w:r>
              <w:tab/>
            </w:r>
            <w:r>
              <w:fldChar w:fldCharType="begin"/>
            </w:r>
            <w:r>
              <w:instrText xml:space="preserve"> PAGEREF _Toc223350001 \h </w:instrText>
            </w:r>
            <w:r>
              <w:fldChar w:fldCharType="separate"/>
            </w:r>
            <w:r>
              <w:t xml:space="preserve">29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850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2" w:anchor="_Toc223350002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11.3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Сроки и порядок передачи заказчику КСГ на основе ЦИМ ОКС</w:t>
            </w:r>
            <w:r>
              <w:tab/>
            </w:r>
            <w:r>
              <w:fldChar w:fldCharType="begin"/>
            </w:r>
            <w:r>
              <w:instrText xml:space="preserve"> PAGEREF _Toc223350002 \h </w:instrText>
            </w:r>
            <w:r>
              <w:fldChar w:fldCharType="separate"/>
            </w:r>
            <w:r>
              <w:t xml:space="preserve">33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3" w:anchor="_Toc223350003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12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Наземное лазерное сканирование с ЦИМ ОКС для создания ТЛО и план-фактного анализа</w:t>
            </w:r>
            <w:r>
              <w:tab/>
            </w:r>
            <w:r>
              <w:fldChar w:fldCharType="begin"/>
            </w:r>
            <w:r>
              <w:instrText xml:space="preserve"> PAGEREF _Toc223350003 \h </w:instrText>
            </w:r>
            <w:r>
              <w:fldChar w:fldCharType="separate"/>
            </w:r>
            <w:r>
              <w:t xml:space="preserve">34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850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4" w:anchor="_Toc223350004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12.1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Общие положения проведения наземного лазерного сканирования с ЦИМ ОКС</w:t>
            </w:r>
            <w:r>
              <w:tab/>
            </w:r>
            <w:r>
              <w:fldChar w:fldCharType="begin"/>
            </w:r>
            <w:r>
              <w:instrText xml:space="preserve"> PAGEREF _Toc223350004 \h </w:instrText>
            </w:r>
            <w:r>
              <w:fldChar w:fldCharType="separate"/>
            </w:r>
            <w:r>
              <w:t xml:space="preserve">34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850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5" w:anchor="_Toc223350005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12.2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Правила наименования файлов лазерного сканирования с ЦИМ ОКС</w:t>
            </w:r>
            <w:r>
              <w:tab/>
            </w:r>
            <w:r>
              <w:fldChar w:fldCharType="begin"/>
            </w:r>
            <w:r>
              <w:instrText xml:space="preserve"> PAGEREF _Toc223350005 \h </w:instrText>
            </w:r>
            <w:r>
              <w:fldChar w:fldCharType="separate"/>
            </w:r>
            <w:r>
              <w:t xml:space="preserve">34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850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6" w:anchor="_Toc223350006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12.3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Подтверждение объемов работ по результатам лазерного сканирования («статусная модель») с ЦИМ ОКС</w:t>
            </w:r>
            <w:r>
              <w:tab/>
            </w:r>
            <w:r>
              <w:fldChar w:fldCharType="begin"/>
            </w:r>
            <w:r>
              <w:instrText xml:space="preserve"> PAGEREF _Toc223350006 \h </w:instrText>
            </w:r>
            <w:r>
              <w:fldChar w:fldCharType="separate"/>
            </w:r>
            <w:r>
              <w:t xml:space="preserve">35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850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7" w:anchor="_Toc223350007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12.4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Отчетные материалы и приемка работ  по лазерному сканированию с ЦИМ ОКС</w:t>
            </w:r>
            <w:r>
              <w:tab/>
            </w:r>
            <w:r>
              <w:fldChar w:fldCharType="begin"/>
            </w:r>
            <w:r>
              <w:instrText xml:space="preserve"> PAGEREF _Toc223350007 \h </w:instrText>
            </w:r>
            <w:r>
              <w:fldChar w:fldCharType="separate"/>
            </w:r>
            <w:r>
              <w:t xml:space="preserve">37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8" w:anchor="_Toc223350008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13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Проверка ЦИМ ОКС на временные коллизии</w:t>
            </w:r>
            <w:r>
              <w:tab/>
            </w:r>
            <w:r>
              <w:fldChar w:fldCharType="begin"/>
            </w:r>
            <w:r>
              <w:instrText xml:space="preserve"> PAGEREF _Toc223350008 \h </w:instrText>
            </w:r>
            <w:r>
              <w:fldChar w:fldCharType="separate"/>
            </w:r>
            <w:r>
              <w:t xml:space="preserve">39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850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09" w:anchor="_Toc223350009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13.1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Понятие и виды временных коллизий</w:t>
            </w:r>
            <w:r>
              <w:tab/>
            </w:r>
            <w:r>
              <w:fldChar w:fldCharType="begin"/>
            </w:r>
            <w:r>
              <w:instrText xml:space="preserve"> PAGEREF _Toc223350009 \h </w:instrText>
            </w:r>
            <w:r>
              <w:fldChar w:fldCharType="separate"/>
            </w:r>
            <w:r>
              <w:t xml:space="preserve">39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850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0" w:anchor="_Toc223350010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13.2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Процесс проверки ЦИМ ОКС на временные коллизии</w:t>
            </w:r>
            <w:r>
              <w:tab/>
            </w:r>
            <w:r>
              <w:fldChar w:fldCharType="begin"/>
            </w:r>
            <w:r>
              <w:instrText xml:space="preserve"> PAGEREF _Toc223350010 \h </w:instrText>
            </w:r>
            <w:r>
              <w:fldChar w:fldCharType="separate"/>
            </w:r>
            <w:r>
              <w:t xml:space="preserve">40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1" w:anchor="_Toc223350011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14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Формирование КС-2, КС-3 и КС-6а на основе </w:t>
            </w:r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данных</w:t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 исполнительной ЦИМ ОКС</w:t>
            </w:r>
            <w:r>
              <w:tab/>
            </w:r>
            <w:r>
              <w:fldChar w:fldCharType="begin"/>
            </w:r>
            <w:r>
              <w:instrText xml:space="preserve"> PAGEREF _Toc223350011 \h </w:instrText>
            </w:r>
            <w:r>
              <w:fldChar w:fldCharType="separate"/>
            </w:r>
            <w:r>
              <w:t xml:space="preserve">44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2" w:anchor="_Toc223350012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15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Формирование исполнительных схем на основе исполнительной ЦИМ ОКС</w:t>
            </w:r>
            <w:r>
              <w:tab/>
            </w:r>
            <w:r>
              <w:fldChar w:fldCharType="begin"/>
            </w:r>
            <w:r>
              <w:instrText xml:space="preserve"> PAGEREF _Toc223350012 \h </w:instrText>
            </w:r>
            <w:r>
              <w:fldChar w:fldCharType="separate"/>
            </w:r>
            <w:r>
              <w:t xml:space="preserve">46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3" w:anchor="_Toc223350013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16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Результаты и правила передачи исполнительной ЦИМ ОКС после завершения строительных работ</w:t>
            </w:r>
            <w:r>
              <w:tab/>
            </w:r>
            <w:r>
              <w:fldChar w:fldCharType="begin"/>
            </w:r>
            <w:r>
              <w:instrText xml:space="preserve"> PAGEREF _Toc223350013 \h </w:instrText>
            </w:r>
            <w:r>
              <w:fldChar w:fldCharType="separate"/>
            </w:r>
            <w:r>
              <w:t xml:space="preserve">47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left" w:pos="567" w:leader="none"/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4" w:anchor="_Toc223350014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17</w:t>
            </w:r>
            <w:r>
              <w:rPr>
                <w:rFonts w:asciiTheme="minorHAnsi" w:hAnsiTheme="minorHAnsi" w:eastAsiaTheme="minorEastAsia" w:cstheme="minorBidi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Рекомендации к ПО для разработки исполнительной  ЦИМ ОКС</w:t>
            </w:r>
            <w:r>
              <w:tab/>
            </w:r>
            <w:r>
              <w:fldChar w:fldCharType="begin"/>
            </w:r>
            <w:r>
              <w:instrText xml:space="preserve"> PAGEREF _Toc223350014 \h </w:instrText>
            </w:r>
            <w:r>
              <w:fldChar w:fldCharType="separate"/>
            </w:r>
            <w:r>
              <w:t xml:space="preserve">50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5" w:anchor="_Toc223350015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Приложение А (справочное) </w:t>
            </w:r>
            <w:r>
              <w:rPr>
                <w:rStyle w:val="1317"/>
                <w:rFonts w:eastAsia="Arial" w:asciiTheme="majorHAnsi" w:hAnsiTheme="majorHAnsi" w:cstheme="majorHAnsi"/>
                <w:bCs/>
                <w:lang w:eastAsia="ru-RU"/>
              </w:rPr>
              <w:t xml:space="preserve">Рекомендуемая форма</w:t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 цифровой ведомости объемов работ на этапе строительства</w:t>
            </w:r>
            <w:r>
              <w:tab/>
            </w:r>
            <w:r>
              <w:fldChar w:fldCharType="begin"/>
            </w:r>
            <w:r>
              <w:instrText xml:space="preserve"> PAGEREF _Toc223350015 \h </w:instrText>
            </w:r>
            <w:r>
              <w:fldChar w:fldCharType="separate"/>
            </w:r>
            <w:r>
              <w:t xml:space="preserve">52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6" w:anchor="_Toc223350016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Приложение Б (справочное) </w:t>
            </w:r>
            <w:r>
              <w:rPr>
                <w:rStyle w:val="1317"/>
                <w:rFonts w:eastAsia="Arial" w:asciiTheme="majorHAnsi" w:hAnsiTheme="majorHAnsi" w:cstheme="majorHAnsi"/>
              </w:rPr>
              <w:t xml:space="preserve">Пример календарно-сетевого графика на основе ЦИМ ОКС</w:t>
            </w:r>
            <w:r>
              <w:tab/>
            </w:r>
            <w:r>
              <w:fldChar w:fldCharType="begin"/>
            </w:r>
            <w:r>
              <w:instrText xml:space="preserve"> PAGEREF _Toc223350016 \h </w:instrText>
            </w:r>
            <w:r>
              <w:fldChar w:fldCharType="separate"/>
            </w:r>
            <w:r>
              <w:t xml:space="preserve">54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7" w:anchor="_Toc223350017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Приложение В (справочное) Минимальный набор отчетной документации по итогам проведения лазерного сканирования</w:t>
            </w:r>
            <w:r>
              <w:tab/>
            </w:r>
            <w:r>
              <w:fldChar w:fldCharType="begin"/>
            </w:r>
            <w:r>
              <w:instrText xml:space="preserve"> PAGEREF _Toc223350017 \h </w:instrText>
            </w:r>
            <w:r>
              <w:fldChar w:fldCharType="separate"/>
            </w:r>
            <w:r>
              <w:t xml:space="preserve">57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8" w:anchor="_Toc223350018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Приложение Г (справочное) Перечень исполнительных схем, сформированных на основе исполнительной ЦИМ ОКС</w:t>
            </w:r>
            <w:r>
              <w:tab/>
            </w:r>
            <w:r>
              <w:fldChar w:fldCharType="begin"/>
            </w:r>
            <w:r>
              <w:instrText xml:space="preserve"> PAGEREF _Toc223350018 \h </w:instrText>
            </w:r>
            <w:r>
              <w:fldChar w:fldCharType="separate"/>
            </w:r>
            <w:r>
              <w:t xml:space="preserve">68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19" w:anchor="_Toc223350019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Приложение Д (справочное) Исполнительные схемы, сформированные на основе исполнительной ЦИМ ОКС</w:t>
            </w:r>
            <w:r>
              <w:tab/>
            </w:r>
            <w:r>
              <w:fldChar w:fldCharType="begin"/>
            </w:r>
            <w:r>
              <w:instrText xml:space="preserve"> PAGEREF _Toc223350019 \h </w:instrText>
            </w:r>
            <w:r>
              <w:fldChar w:fldCharType="separate"/>
            </w:r>
            <w:r>
              <w:t xml:space="preserve">70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20" w:anchor="_Toc223350020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Приложение Е (справочное) Акт о приемке исполнительной ЦИМ ОКС</w:t>
            </w:r>
            <w:r>
              <w:tab/>
            </w:r>
            <w:r>
              <w:fldChar w:fldCharType="begin"/>
            </w:r>
            <w:r>
              <w:instrText xml:space="preserve"> PAGEREF _Toc223350020 \h </w:instrText>
            </w:r>
            <w:r>
              <w:fldChar w:fldCharType="separate"/>
            </w:r>
            <w:r>
              <w:t xml:space="preserve">77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21" w:anchor="_Toc223350021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Приложение Ж (справочное) Принципы группировки элементов ЦИМ ОКС в соответствии  с базовыми процессами ведения исполнительной ЦИМ ОКС</w:t>
            </w:r>
            <w:r>
              <w:tab/>
            </w:r>
            <w:r>
              <w:fldChar w:fldCharType="begin"/>
            </w:r>
            <w:r>
              <w:instrText xml:space="preserve"> PAGEREF _Toc223350021 \h </w:instrText>
            </w:r>
            <w:r>
              <w:fldChar w:fldCharType="separate"/>
            </w:r>
            <w:r>
              <w:t xml:space="preserve">82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22" w:anchor="_Toc223350022" w:history="1">
            <w:r>
              <w:rPr>
                <w:rStyle w:val="1317"/>
                <w:rFonts w:eastAsia="Arial" w:asciiTheme="majorHAnsi" w:hAnsiTheme="majorHAnsi" w:cstheme="majorHAnsi"/>
              </w:rPr>
              <w:t xml:space="preserve">Приложение И (справочное)  Условия формирования поисковых наборов по принципам группировки элементов</w:t>
            </w:r>
            <w:r>
              <w:tab/>
            </w:r>
            <w:r>
              <w:fldChar w:fldCharType="begin"/>
            </w:r>
            <w:r>
              <w:instrText xml:space="preserve"> PAGEREF _Toc223350022 \h </w:instrText>
            </w:r>
            <w:r>
              <w:fldChar w:fldCharType="separate"/>
            </w:r>
            <w:r>
              <w:t xml:space="preserve">84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304"/>
            <w:tabs>
              <w:tab w:val="right" w:pos="9771" w:leader="dot"/>
            </w:tabs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pPr>
          <w:r/>
          <w:hyperlink w:tooltip="#_Toc223350023" w:anchor="_Toc223350023" w:history="1">
            <w:r>
              <w:rPr>
                <w:rStyle w:val="1317"/>
                <w:rFonts w:eastAsia="Arial" w:asciiTheme="majorHAnsi" w:hAnsiTheme="majorHAnsi" w:cstheme="majorHAnsi"/>
                <w:bCs/>
              </w:rPr>
              <w:t xml:space="preserve">Библиография</w:t>
            </w:r>
            <w:r>
              <w:tab/>
            </w:r>
            <w:r>
              <w:fldChar w:fldCharType="begin"/>
            </w:r>
            <w:r>
              <w:instrText xml:space="preserve"> PAGEREF _Toc223350023 \h </w:instrText>
            </w:r>
            <w:r>
              <w:fldChar w:fldCharType="separate"/>
            </w:r>
            <w:r>
              <w:t xml:space="preserve">85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  <w:r>
            <w:rPr>
              <w:rFonts w:asciiTheme="minorHAnsi" w:hAnsiTheme="minorHAnsi" w:eastAsiaTheme="minorEastAsia" w:cstheme="minorBidi"/>
              <w:sz w:val="24"/>
              <w:szCs w:val="24"/>
              <w:lang w:eastAsia="ru-RU"/>
              <w14:ligatures w14:val="standardContextual"/>
            </w:rPr>
          </w:r>
        </w:p>
        <w:p>
          <w:pPr>
            <w:contextualSpacing/>
            <w:jc w:val="both"/>
            <w:spacing w:line="360" w:lineRule="auto"/>
            <w:rPr>
              <w:rFonts w:asciiTheme="majorHAnsi" w:hAnsiTheme="majorHAnsi" w:cstheme="majorHAnsi"/>
              <w:color w:val="000000"/>
              <w:highlight w:val="white"/>
            </w:rPr>
          </w:pPr>
          <w:r>
            <w:rPr>
              <w:rFonts w:eastAsia="Arial" w:asciiTheme="majorHAnsi" w:hAnsiTheme="majorHAnsi" w:cstheme="majorHAnsi"/>
              <w:b/>
              <w:color w:val="000000" w:themeColor="text1"/>
              <w:highlight w:val="white"/>
            </w:rPr>
            <w:fldChar w:fldCharType="end"/>
          </w:r>
          <w:r>
            <w:rPr>
              <w:rFonts w:asciiTheme="majorHAnsi" w:hAnsiTheme="majorHAnsi" w:cstheme="majorHAnsi"/>
              <w:color w:val="000000"/>
              <w:highlight w:val="white"/>
            </w:rPr>
          </w:r>
          <w:r>
            <w:rPr>
              <w:rFonts w:asciiTheme="majorHAnsi" w:hAnsiTheme="majorHAnsi" w:cstheme="majorHAnsi"/>
              <w:color w:val="000000"/>
              <w:highlight w:val="white"/>
            </w:rPr>
          </w:r>
        </w:p>
      </w:sdtContent>
    </w:sdt>
    <w:p>
      <w:pPr>
        <w:contextualSpacing/>
        <w:ind w:firstLine="709"/>
        <w:jc w:val="center"/>
        <w:tabs>
          <w:tab w:val="left" w:pos="85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center"/>
        <w:tabs>
          <w:tab w:val="left" w:pos="8520" w:leader="none"/>
        </w:tabs>
        <w:rPr>
          <w:rFonts w:asciiTheme="majorHAnsi" w:hAnsiTheme="majorHAnsi" w:cstheme="majorHAnsi"/>
        </w:rPr>
      </w:pPr>
      <w:r>
        <w:rPr>
          <w:rFonts w:eastAsia="Arial" w:asciiTheme="majorHAnsi" w:hAnsiTheme="majorHAnsi" w:cstheme="majorHAnsi"/>
          <w:b/>
          <w:color w:val="000000"/>
          <w:sz w:val="28"/>
        </w:rPr>
        <w:t xml:space="preserve">Введение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spacing w:line="229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Настоящий стандарт разработан в рамках Программы национальной стандартизации в Российской Федерации в соответствии с [1] и направлен на реализацию требований [2], согласно которому включение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br/>
        <w:t xml:space="preserve">в информационную модель объекта капитального с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троительства цифровой информационной модели на этапе осуществления архитектурно-строительного проектирования является обязательным, также разработка цифровой информационной модели  является обязательной на этапах осуществления строительства, реконструкции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br/>
        <w:t xml:space="preserve">и эксплуатации объекта капитального строительства в случае, если цифровая информационная модель разрабатывалась на предыдущих этапах.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 данный момент отсутствуют стандарты в области п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рименения технологий информационного моделирования, которые бы в полной мере покрывали потребность в нормативно-техническом регулировании использования цифровой информационной модели на этапе осуществления строительства объекта капитального строительства.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br/>
        <w:t xml:space="preserve">В связи с этим разработан настоящий стандарт, который учитывает особенности формирования цифровой информационной модели на этапе строительства.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ectPr>
          <w:headerReference w:type="default" r:id="rId12"/>
          <w:headerReference w:type="even" r:id="rId13"/>
          <w:footerReference w:type="default" r:id="rId19"/>
          <w:footerReference w:type="even" r:id="rId20"/>
          <w:footnotePr/>
          <w:endnotePr/>
          <w:type w:val="nextPage"/>
          <w:pgSz w:w="11906" w:h="16838" w:orient="portrait"/>
          <w:pgMar w:top="1276" w:right="991" w:bottom="1134" w:left="1134" w:header="709" w:footer="709" w:gutter="0"/>
          <w:pgNumType w:start="2"/>
          <w:cols w:num="1" w:sep="0" w:space="708" w:equalWidth="1"/>
          <w:docGrid w:linePitch="360"/>
        </w:sectP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Настоящий стандарт позволит провести апробацию предложенных подходов к использованию цифровых информационных моделей на этапе осуществления строительства объекта капитального строительства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br/>
        <w:t xml:space="preserve">в зависимости от реализуемых базовых процессов ведения цифровых информационных моделей и собрать практический опыт реализации информационного моделирования на указанном этап.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contextualSpacing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ectPr>
          <w:headerReference w:type="first" r:id="rId14"/>
          <w:footerReference w:type="first" r:id="rId21"/>
          <w:footnotePr/>
          <w:endnotePr/>
          <w:type w:val="nextPage"/>
          <w:pgSz w:w="11906" w:h="16838" w:orient="portrait"/>
          <w:pgMar w:top="1276" w:right="991" w:bottom="1134" w:left="1134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tbl>
      <w:tblPr>
        <w:tblStyle w:val="1172"/>
        <w:tblW w:w="0" w:type="auto"/>
        <w:tblInd w:w="-142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12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80" w:type="dxa"/>
            <w:textDirection w:val="lrTb"/>
            <w:noWrap w:val="false"/>
          </w:tcPr>
          <w:p>
            <w:pPr>
              <w:contextualSpacing/>
              <w:ind w:firstLine="709"/>
              <w:jc w:val="center"/>
              <w:spacing w:line="419" w:lineRule="atLeast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ПРЕДВАРИТЕЛЬНЫЙ НАЦИОНАЛЬНЫЙ СТАНДАРТ РОССИЙСКОЙ ФЕДЕРАЦИИ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80" w:type="dxa"/>
            <w:textDirection w:val="lrTb"/>
            <w:noWrap w:val="false"/>
          </w:tcPr>
          <w:p>
            <w:pPr>
              <w:contextualSpacing/>
              <w:ind w:firstLine="709"/>
              <w:jc w:val="center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4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ind w:firstLine="709"/>
              <w:jc w:val="center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Требования к цифровым информационным моделям 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ind w:firstLine="709"/>
              <w:jc w:val="center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объектов непроизводственного назначения на этапе строительства 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ind w:firstLine="709"/>
              <w:jc w:val="both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ind w:firstLine="709"/>
              <w:jc w:val="both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contextualSpacing/>
              <w:ind w:firstLine="709"/>
              <w:jc w:val="center"/>
              <w:rPr>
                <w:rFonts w:asciiTheme="majorHAnsi" w:hAnsiTheme="majorHAnsi" w:cstheme="majorHAnsi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  <w:lang w:val="en-US"/>
              </w:rPr>
              <w:t xml:space="preserve">(</w:t>
            </w:r>
            <w:r>
              <w:rPr>
                <w:rFonts w:ascii="Arial" w:hAnsi="Arial" w:eastAsia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Requirements of using digital informational models of non-industrial facilities at the building stage</w:t>
            </w:r>
            <w:r>
              <w:rPr>
                <w:rFonts w:eastAsia="Arial" w:asciiTheme="majorHAnsi" w:hAnsiTheme="majorHAnsi" w:cstheme="majorHAnsi"/>
                <w:b/>
                <w:color w:val="000000"/>
                <w:sz w:val="22"/>
                <w:lang w:val="en-US"/>
              </w:rPr>
              <w:t xml:space="preserve">) </w:t>
            </w:r>
            <w:r>
              <w:rPr>
                <w:rFonts w:asciiTheme="majorHAnsi" w:hAnsiTheme="majorHAnsi" w:cstheme="majorHAnsi"/>
                <w:lang w:val="en-US"/>
              </w:rPr>
            </w:r>
            <w:r>
              <w:rPr>
                <w:rFonts w:asciiTheme="majorHAnsi" w:hAnsiTheme="majorHAnsi" w:cstheme="majorHAnsi"/>
                <w:lang w:val="en-US"/>
              </w:rPr>
            </w:r>
          </w:p>
        </w:tc>
      </w:tr>
    </w:tbl>
    <w:p>
      <w:pPr>
        <w:ind w:firstLine="709"/>
        <w:jc w:val="right"/>
        <w:spacing w:line="420" w:lineRule="atLeast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Arial" w:cs="Arial"/>
          <w:color w:val="000000"/>
          <w:sz w:val="28"/>
        </w:rPr>
        <w:t xml:space="preserve">Срок действия — с______—      — </w:t>
      </w:r>
      <w:r/>
    </w:p>
    <w:p>
      <w:pPr>
        <w:ind w:left="4961" w:firstLine="709"/>
        <w:jc w:val="right"/>
        <w:spacing w:line="420" w:lineRule="atLeast"/>
        <w:rPr>
          <w:rFonts w:ascii="Arial" w:hAnsi="Arial" w:eastAsia="Arial" w:cs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Arial" w:cs="Arial"/>
          <w:color w:val="000000"/>
          <w:sz w:val="28"/>
        </w:rPr>
        <w:t xml:space="preserve">до______—      —</w:t>
      </w:r>
      <w:r>
        <w:rPr>
          <w:rFonts w:ascii="Arial" w:hAnsi="Arial" w:eastAsia="Arial" w:cs="Arial"/>
          <w:color w:val="000000"/>
          <w:sz w:val="28"/>
          <w:szCs w:val="28"/>
        </w:rPr>
      </w:r>
      <w:r>
        <w:rPr>
          <w:rFonts w:ascii="Arial" w:hAnsi="Arial" w:eastAsia="Arial" w:cs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419" w:lineRule="atLeast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709"/>
        <w:jc w:val="both"/>
        <w:spacing w:line="85" w:lineRule="atLeast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0" w:name="_Toc223349989"/>
      <w:r>
        <w:rPr>
          <w:rFonts w:eastAsia="Arial" w:asciiTheme="majorHAnsi" w:hAnsiTheme="majorHAnsi" w:cstheme="majorHAnsi"/>
          <w:color w:val="1a1a1a"/>
          <w:sz w:val="28"/>
        </w:rPr>
        <w:t xml:space="preserve">Область применения</w:t>
      </w:r>
      <w:bookmarkEnd w:id="0"/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Настоящий стандарт разработан с целью внедрения технологий информационного моделирования, используемых при разработке исполнительной цифровой информационной модели объекта капитального строительства непроизводственного назначения,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br/>
        <w:t xml:space="preserve">а также с целью применения цифровой информационной модели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br/>
        <w:t xml:space="preserve">для повышения качества управл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ения процессом строительства и повышения качества контроля соблюдения существующих норм и правил, а также для планирования, анализа и контроля производства строительно-монтажных работ, поставки материалов и оборудования, выполнения контрольных мероприятий.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Настоящий стандарт распространяется на исполнительные цифровые информационные модели объектов капительного строительства непроизводственного назначения.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Настоящий стандарт определяет рекомендуемый набор атрибутов элементов исполнительной цифровой информационной модели.</w:t>
      </w:r>
      <w:bookmarkStart w:id="1" w:name="_Hlk152690398"/>
      <w:r/>
      <w:bookmarkEnd w:id="1"/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after="200" w:line="360" w:lineRule="auto"/>
        <w:tabs>
          <w:tab w:val="left" w:pos="3045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ab/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Настоящий стандарт устанавливает порядок формирования данных для разработки календарного плана на основе цифровой информационной модели объекта капитального строительства.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Настоящий стандарт устанавливает порядок проведения наземного лазерного сканирования с использованием исполнительной цифровой информационной модели объекта капитального строительства в целях создания облаков точек лазерных отражений и план-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фактного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 анализа, план проверки облаков точек лазерных отражений, подтверждение объемов работ по результатам лазерного сканирования.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Настоящий стандарт устанавливает правила проверки цифровой информационной модели объекта капитального строительства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br/>
        <w:t xml:space="preserve">на временные коллизии и правила передачи цифровой информационной модели объекта капитального строительства после завершения строительства.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Настоящий стандарт устанавливает требования к программному обеспечению для разработки исполнительной цифровой информационной модели объекта капитального строительства. 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Цифровая ин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формационная модель объекта капитального строительства может являться результатом интеллектуальной деятельности, особенности использования которого третьими лицами урегулированы законодательством Российской Федерации в сфере интеллектуальной собственности.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after="200" w:line="360" w:lineRule="auto"/>
        <w:rPr>
          <w:rFonts w:asciiTheme="majorHAnsi" w:hAnsiTheme="majorHAnsi" w:cstheme="majorHAnsi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br w:type="page" w:clear="all"/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135"/>
        <w:numPr>
          <w:ilvl w:val="0"/>
          <w:numId w:val="23"/>
        </w:numPr>
        <w:contextualSpacing/>
        <w:ind w:left="0" w:firstLine="709"/>
        <w:jc w:val="both"/>
        <w:spacing w:line="85" w:lineRule="atLeast"/>
        <w:rPr>
          <w:rFonts w:eastAsia="Arial" w:asciiTheme="majorHAnsi" w:hAnsiTheme="majorHAnsi" w:cstheme="majorHAnsi"/>
          <w:bCs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2" w:name="_Toc223349990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Нормативные ссылки</w:t>
      </w:r>
      <w:bookmarkEnd w:id="2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</w:rPr>
      </w:pPr>
      <w:r>
        <w:rPr>
          <w:rFonts w:eastAsia="Arial" w:asciiTheme="majorHAnsi" w:hAnsiTheme="majorHAnsi" w:cstheme="majorHAnsi"/>
        </w:rPr>
      </w:r>
      <w:r>
        <w:rPr>
          <w:rFonts w:eastAsia="Arial" w:asciiTheme="majorHAnsi" w:hAnsiTheme="majorHAnsi" w:cstheme="majorHAnsi"/>
        </w:rPr>
      </w:r>
      <w:r>
        <w:rPr>
          <w:rFonts w:eastAsia="Arial" w:asciiTheme="majorHAnsi" w:hAnsiTheme="majorHAnsi" w:cstheme="majorHAnsi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В настоящем стандарте использованы нормативные ссылки на следующие документы: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ГОСТ Р 10.0.02–2019/ИСО 16739–1:2018 Отраслевые базовые классы (IFC) для обмена и управления данными об объектах строительства. Часть 1. Схема данных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 w:themeColor="text1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 w:themeColor="text1"/>
          <w:sz w:val="28"/>
          <w:szCs w:val="28"/>
          <w:lang w:eastAsia="en-US"/>
        </w:rPr>
        <w:t xml:space="preserve">ГОСТ Р 57563-2017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/ИСО 12911:2012</w:t>
      </w:r>
      <w:r>
        <w:rPr>
          <w:rFonts w:eastAsia="Arial" w:asciiTheme="majorHAnsi" w:hAnsiTheme="majorHAnsi" w:cstheme="majorHAnsi"/>
          <w:color w:val="000000" w:themeColor="text1"/>
          <w:sz w:val="28"/>
          <w:szCs w:val="28"/>
          <w:lang w:eastAsia="en-US"/>
        </w:rPr>
        <w:t xml:space="preserve"> Моделирование информационное в строительстве. Основные положения по разработке стандартов информационного моделирования зданий и сооружений</w:t>
      </w:r>
      <w:r>
        <w:rPr>
          <w:rFonts w:eastAsia="Arial" w:asciiTheme="majorHAnsi" w:hAnsiTheme="majorHAnsi" w:cstheme="majorHAnsi"/>
          <w:color w:val="000000" w:themeColor="text1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 w:themeColor="text1"/>
          <w:sz w:val="28"/>
          <w:szCs w:val="28"/>
        </w:rPr>
        <w:t xml:space="preserve">ГОСТ Р 70174-2022 Картография цифровая. Процессы создания элемента содержания «Рельеф» цифровых топографических карт масштаба 1:25 000. Общие требования</w:t>
      </w:r>
      <w:r>
        <w:rPr>
          <w:rFonts w:eastAsia="Arial" w:asciiTheme="majorHAnsi" w:hAnsiTheme="majorHAnsi" w:cstheme="majorHAnsi"/>
          <w:color w:val="000000" w:themeColor="text1"/>
          <w:sz w:val="28"/>
          <w:szCs w:val="28"/>
        </w:rPr>
      </w:r>
      <w:r>
        <w:rPr>
          <w:rFonts w:eastAsia="Arial" w:asciiTheme="majorHAnsi" w:hAnsiTheme="majorHAnsi" w:cstheme="majorHAnsi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ГОСТ Р 10.00.00.01-2025 Единая система информационного моделирования. Термины и определения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ГОСТ Р 71863-2024 Фототопография. Лазерное сканирование. Общие положения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ГОСТ Р 72225-2025 Фототопография. Сканирование лазерное наземное. Технические требования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СП 333.1325800.2020 Информационное моделирование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br/>
        <w:t xml:space="preserve">в строительстве. Правила формирования информационной модели объектов на различных стадиях жизненного цикла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СП 331.1325800.2017 Информационное моделирование в строительстве. Правила обмена между информационными моделями объектов и моделями, используемыми в программных комплексах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СП 317.1325800.2017 Инженерно-геодезические изыскания для строительства. Общие правила производства работ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СП 328.1325800.2020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Информационное моделирование в строительстве. Правила описания компонентов информационной модели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en-US"/>
        </w:rPr>
        <w:t xml:space="preserve">ПНСТ 909-2024 Требование к цифровым информационным моделям объектов непроизводственного назначения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after="200"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after="200" w:line="360" w:lineRule="auto"/>
        <w:rPr>
          <w:rFonts w:asciiTheme="majorHAnsi" w:hAnsiTheme="majorHAnsi" w:cstheme="majorHAnsi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pacing w:val="40"/>
          <w:sz w:val="24"/>
        </w:rPr>
        <w:t xml:space="preserve">Примечание </w:t>
      </w:r>
      <w:r>
        <w:rPr>
          <w:rFonts w:eastAsia="Arial" w:asciiTheme="majorHAnsi" w:hAnsiTheme="majorHAnsi" w:cstheme="majorHAnsi"/>
          <w:color w:val="000000"/>
          <w:sz w:val="24"/>
        </w:rPr>
        <w:t xml:space="preserve">– При пользовании настоящим стандартом </w:t>
      </w:r>
      <w:r>
        <w:rPr>
          <w:rFonts w:eastAsia="Arial" w:asciiTheme="majorHAnsi" w:hAnsiTheme="majorHAnsi" w:cstheme="majorHAnsi"/>
          <w:color w:val="000000"/>
          <w:sz w:val="24"/>
        </w:rPr>
        <w:t xml:space="preserve">целесообразно проверить действие ссылочных документов в информационной системе общего пользования - на официальном сайте федерального органа исполнительной власти в сфере стандартизации в сети Интернет или по ежегодному информационному указателю «Националь</w:t>
      </w:r>
      <w:r>
        <w:rPr>
          <w:rFonts w:eastAsia="Arial" w:asciiTheme="majorHAnsi" w:hAnsiTheme="majorHAnsi" w:cstheme="majorHAnsi"/>
          <w:color w:val="000000"/>
          <w:sz w:val="24"/>
        </w:rPr>
        <w:t xml:space="preserve">ные стандарты», который опубликован по состоянию на 1 января текущего года, и по выпускам ежемесячного информационного указателя «Национальные стандарты» за текущий год. Если заменен ссылочный документ, на который дана недатированная ссылка, то рекомендует</w:t>
      </w:r>
      <w:r>
        <w:rPr>
          <w:rFonts w:eastAsia="Arial" w:asciiTheme="majorHAnsi" w:hAnsiTheme="majorHAnsi" w:cstheme="majorHAnsi"/>
          <w:color w:val="000000"/>
          <w:sz w:val="24"/>
        </w:rPr>
        <w:t xml:space="preserve">ся использовать действующую версию этого документа с учетом всех внесенных в данную версию изменений. Если заменен ссылочный документ, на который дана датированная ссылка, то рекомендуется использовать версию этого документа с указанным выше годом утвержде</w:t>
      </w:r>
      <w:r>
        <w:rPr>
          <w:rFonts w:eastAsia="Arial" w:asciiTheme="majorHAnsi" w:hAnsiTheme="majorHAnsi" w:cstheme="majorHAnsi"/>
          <w:color w:val="000000"/>
          <w:sz w:val="24"/>
        </w:rPr>
        <w:t xml:space="preserve">ния (принятия). Если после утверждения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рекомендуется применять без учета данного изменения.</w:t>
      </w:r>
      <w:r>
        <w:rPr>
          <w:rFonts w:eastAsia="Arial" w:asciiTheme="majorHAnsi" w:hAnsiTheme="majorHAnsi" w:cstheme="majorHAnsi"/>
          <w:color w:val="000000"/>
          <w:sz w:val="24"/>
        </w:rPr>
        <w:t xml:space="preserve"> Если ссылочный документ отменен без замены, то положение, в котором дана ссылка на него, рекомендуется применять в части, не затрагивающей эту ссылку. Сведения о действии сводов правил целесообразно проверить в Федеральном информационном фонде стандартов.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 w:clear="all"/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</w:rPr>
      </w:pPr>
      <w:r>
        <w:rPr>
          <w:rFonts w:eastAsia="Arial" w:asciiTheme="majorHAnsi" w:hAnsiTheme="majorHAnsi" w:cstheme="majorHAnsi"/>
        </w:rPr>
      </w:r>
      <w:r>
        <w:rPr>
          <w:rFonts w:eastAsia="Arial" w:asciiTheme="majorHAnsi" w:hAnsiTheme="majorHAnsi" w:cstheme="majorHAnsi"/>
        </w:rPr>
      </w:r>
      <w:r>
        <w:rPr>
          <w:rFonts w:eastAsia="Arial" w:asciiTheme="majorHAnsi" w:hAnsiTheme="majorHAnsi" w:cstheme="majorHAnsi"/>
        </w:rPr>
      </w:r>
    </w:p>
    <w:p>
      <w:pPr>
        <w:pStyle w:val="1135"/>
        <w:numPr>
          <w:ilvl w:val="0"/>
          <w:numId w:val="23"/>
        </w:numPr>
        <w:contextualSpacing/>
        <w:ind w:left="0" w:firstLine="709"/>
        <w:jc w:val="both"/>
        <w:spacing w:line="85" w:lineRule="atLeast"/>
        <w:rPr>
          <w:rFonts w:eastAsia="Arial" w:asciiTheme="majorHAnsi" w:hAnsiTheme="majorHAnsi" w:cstheme="majorHAnsi"/>
          <w:bCs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3" w:name="_Toc200103623"/>
      <w:r/>
      <w:bookmarkStart w:id="4" w:name="_Toc223349991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Термины и определения</w:t>
      </w:r>
      <w:bookmarkEnd w:id="3"/>
      <w:r/>
      <w:bookmarkEnd w:id="4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В настоящем стандарте применены термины с соответствующими определениям по ГОСТ Р 10.00.00.01-2025, а также: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b/>
          <w:bCs/>
          <w:color w:val="000000"/>
          <w:sz w:val="28"/>
          <w:szCs w:val="28"/>
        </w:rPr>
        <w:t xml:space="preserve">базовый процесс ведения цифровой информационной модели: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/>
          <w:sz w:val="28"/>
        </w:rPr>
        <w:t xml:space="preserve">Совокупность целей и задач, необходимых для достижения результатов, приносящих лицам, использующим цифровые информационные модели, определенные выгоды и преимущества.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b/>
          <w:bCs/>
          <w:color w:val="000000"/>
          <w:sz w:val="28"/>
          <w:szCs w:val="28"/>
        </w:rPr>
        <w:t xml:space="preserve">версия IFC: 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Номер версии спецификации IFC, используемой для обмена данными (например, IFC 2.3.0.0, IFC 4.0.2.1 и т.д.).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b/>
          <w:bCs/>
          <w:color w:val="000000"/>
          <w:sz w:val="28"/>
          <w:szCs w:val="28"/>
        </w:rPr>
        <w:t xml:space="preserve">временные коллизии: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 Колл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изии, возникающие в ЦИМ ОКС 4D, когда одна или несколько частей проекта (например, строительные и динамические элементы, оборудование) занимают одно и то же пространство в одно и то же время, что приводит к конфликтам и проблемам в процессе строительства. 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b/>
          <w:bCs/>
          <w:color w:val="000000"/>
          <w:sz w:val="28"/>
          <w:szCs w:val="28"/>
        </w:rPr>
        <w:t xml:space="preserve">геометрические данные: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 Данные, определяющие размеры, форму и пространственное расположение элемента цифровой информационной модели.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b/>
          <w:bCs/>
          <w:color w:val="000000"/>
          <w:sz w:val="28"/>
          <w:szCs w:val="28"/>
        </w:rPr>
        <w:t xml:space="preserve">дисциплинарная цифровая информационная модель: 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Цифровая информационная модель, содержащая элементы, относящиеся к выделенной архитектурной, конструктивной, функционально-технологической или инженерно-технической системе объекта моделирования.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b/>
          <w:bCs/>
          <w:color w:val="000000"/>
          <w:sz w:val="28"/>
          <w:szCs w:val="28"/>
        </w:rPr>
        <w:t xml:space="preserve">закрытый формат обмена данными; проприетарный формат обмена данными: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 Формат данных, не имеющий общедоступных спецификаций, либо имеющий серьезные лицензионные ограничения, мешающие его широкому использованию независимыми организациями.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bCs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b/>
          <w:bCs/>
          <w:color w:val="000000"/>
          <w:sz w:val="28"/>
          <w:szCs w:val="28"/>
        </w:rPr>
        <w:t xml:space="preserve">захватка: </w:t>
      </w:r>
      <w:r>
        <w:rPr>
          <w:rFonts w:eastAsia="SimSun" w:asciiTheme="majorHAnsi" w:hAnsiTheme="majorHAnsi" w:cstheme="majorHAnsi"/>
          <w:bCs/>
          <w:color w:val="000000"/>
          <w:sz w:val="28"/>
          <w:szCs w:val="28"/>
        </w:rPr>
        <w:t xml:space="preserve">ограниченная часть объема ОКС, в пределах которой с учетом предпочтений и ограничений организуются все виды работ </w:t>
      </w:r>
      <w:r>
        <w:rPr>
          <w:rFonts w:eastAsia="SimSun" w:asciiTheme="majorHAnsi" w:hAnsiTheme="majorHAnsi" w:cstheme="majorHAnsi"/>
          <w:bCs/>
          <w:color w:val="000000"/>
          <w:sz w:val="28"/>
          <w:szCs w:val="28"/>
        </w:rPr>
        <w:br/>
        <w:t xml:space="preserve">по созданию строительной продукции, выделенной в рамках цикла работ.</w:t>
      </w:r>
      <w:r>
        <w:rPr>
          <w:rFonts w:eastAsia="SimSun" w:asciiTheme="majorHAnsi" w:hAnsiTheme="majorHAnsi" w:cstheme="majorHAnsi"/>
          <w:bCs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 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tbl>
      <w:tblPr>
        <w:tblStyle w:val="1172"/>
        <w:tblW w:w="977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776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Arial" w:hAnsi="Arial" w:eastAsia="Arial" w:cs="Arial"/>
                <w:b/>
                <w:color w:val="000000"/>
                <w:sz w:val="28"/>
              </w:rPr>
              <w:t xml:space="preserve">здание: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Результат строительства, представляющий собой объёмную строительную систему, имеющую надземную и (или) подз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животных.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[3], статья 2, пункт 2, подпункт 6]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</w:tr>
    </w:tbl>
    <w:p>
      <w:pPr>
        <w:contextualSpacing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b/>
          <w:bCs/>
          <w:color w:val="000000"/>
          <w:sz w:val="28"/>
          <w:szCs w:val="28"/>
        </w:rPr>
        <w:t xml:space="preserve">исполнительная цифровая информационная модель объекта капитального строительства (здесь):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 Цифровая информационна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я модель, включаемая в информационную модель объекта капитального строительства на этапе осуществления строительства объекта капитального строительства и дополняющая графическую часть документов и материалов, входящих в состав исполнительной документации. 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b/>
          <w:bCs/>
          <w:color w:val="000000"/>
          <w:sz w:val="28"/>
          <w:szCs w:val="28"/>
        </w:rPr>
        <w:t xml:space="preserve">календарно-сетевой график (КСГ): 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  <w:t xml:space="preserve">визуальное представление последовательности работ строительного проекта с привязкой к календарным датам.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tbl>
      <w:tblPr>
        <w:tblStyle w:val="1172"/>
        <w:tblW w:w="977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776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eastAsia="SimSun" w:asciiTheme="majorHAnsi" w:hAnsiTheme="majorHAnsi" w:cstheme="majorHAnsi"/>
                <w:color w:val="000000"/>
                <w:sz w:val="28"/>
                <w:szCs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SimSun"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класс IFC (сущность схемы данных IFC):</w:t>
            </w:r>
            <w:r>
              <w:rPr>
                <w:rFonts w:ascii="Arial" w:hAnsi="Arial" w:eastAsia="Arial" w:cs="Arial"/>
                <w:color w:val="000000"/>
                <w:sz w:val="28"/>
              </w:rPr>
              <w:t xml:space="preserve"> </w:t>
            </w:r>
            <w:r>
              <w:rPr>
                <w:rFonts w:eastAsia="SimSun" w:asciiTheme="majorHAnsi" w:hAnsiTheme="majorHAnsi" w:cstheme="majorHAnsi"/>
                <w:color w:val="000000"/>
                <w:sz w:val="28"/>
                <w:szCs w:val="28"/>
              </w:rPr>
              <w:t xml:space="preserve">Класс информации, определяемый общими атрибутами и ограничениями согласно ISO 10303-11.</w:t>
            </w:r>
            <w:r>
              <w:rPr>
                <w:rFonts w:eastAsia="SimSun"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eastAsia="SimSun" w:asciiTheme="majorHAnsi" w:hAnsiTheme="majorHAnsi" w:cstheme="majorHAnsi"/>
                <w:color w:val="000000"/>
                <w:sz w:val="28"/>
                <w:szCs w:val="2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[ГОСТ Р 10.0.02–2019/ИСО 16739–1:2018, пункт 3.1.13]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</w:tr>
    </w:tbl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</w:r>
    </w:p>
    <w:tbl>
      <w:tblPr>
        <w:tblStyle w:val="1172"/>
        <w:tblW w:w="977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776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наземное лазерное сканирование: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t xml:space="preserve">Вид работ в составе топографической или геодезической исполнительной съемки, основанный на применении лазерных сканеров в сочетании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br/>
              <w:t xml:space="preserve">(при необходимости) с геодезическим спутниковым оборудованием и инерциальной системой.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t xml:space="preserve">[СП 317.1325800.2017, пункт 3.1.4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</w:tbl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tbl>
      <w:tblPr>
        <w:tblStyle w:val="1172"/>
        <w:tblW w:w="977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776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облако точек лазерных отражений: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t xml:space="preserve">Совокупность фиксируемых лазерным сканером точек земной поверхности и объектов, характеризуемых пространственными координатами и интенсивностью отражения.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t xml:space="preserve">[ГОСТ Р 70174—2022, пункт 3.1.3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</w:tbl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tbl>
      <w:tblPr>
        <w:tblStyle w:val="1172"/>
        <w:tblW w:w="9781" w:type="dxa"/>
        <w:tblInd w:w="-5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781" w:type="dxa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объект капитального строительства: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 Здание, строение, сооружение, объекты, строительство которых не завершено (далее - объекты незавершенного строительства), за исключением некапитальных строений, сооружений и неотделимых улучшений земельного участка (замощение, покрытие и другие).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 [[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lang w:val="en-US"/>
              </w:rPr>
              <w:t xml:space="preserve">5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], статья 1, пункт 10]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</w:tr>
    </w:tbl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b/>
          <w:bCs/>
          <w:color w:val="000000"/>
          <w:sz w:val="28"/>
        </w:rPr>
        <w:t xml:space="preserve"> открытый формат данных: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 Формат данных с открытой спецификацией, не имеющий лицензионных ограничений, препятствующих его свободному применению.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 </w:t>
      </w:r>
      <w:r>
        <w:rPr>
          <w:rFonts w:eastAsia="Arial" w:asciiTheme="majorHAnsi" w:hAnsiTheme="majorHAnsi" w:cstheme="majorHAnsi"/>
          <w:b/>
          <w:bCs/>
          <w:color w:val="000000"/>
          <w:sz w:val="28"/>
        </w:rPr>
        <w:t xml:space="preserve">отраслевые базовые классы (</w:t>
      </w:r>
      <w:r>
        <w:rPr>
          <w:rFonts w:eastAsia="Arial" w:asciiTheme="majorHAnsi" w:hAnsiTheme="majorHAnsi" w:cstheme="majorHAnsi"/>
          <w:b/>
          <w:bCs/>
          <w:color w:val="000000"/>
          <w:sz w:val="28"/>
        </w:rPr>
        <w:t xml:space="preserve">Industry</w:t>
      </w:r>
      <w:r>
        <w:rPr>
          <w:rFonts w:eastAsia="Arial" w:asciiTheme="majorHAnsi" w:hAnsiTheme="majorHAnsi" w:cstheme="majorHAnsi"/>
          <w:b/>
          <w:bCs/>
          <w:color w:val="000000"/>
          <w:sz w:val="28"/>
        </w:rPr>
        <w:t xml:space="preserve"> </w:t>
      </w:r>
      <w:r>
        <w:rPr>
          <w:rFonts w:eastAsia="Arial" w:asciiTheme="majorHAnsi" w:hAnsiTheme="majorHAnsi" w:cstheme="majorHAnsi"/>
          <w:b/>
          <w:bCs/>
          <w:color w:val="000000"/>
          <w:sz w:val="28"/>
        </w:rPr>
        <w:t xml:space="preserve">Foundation</w:t>
      </w:r>
      <w:r>
        <w:rPr>
          <w:rFonts w:eastAsia="Arial" w:asciiTheme="majorHAnsi" w:hAnsiTheme="majorHAnsi" w:cstheme="majorHAnsi"/>
          <w:b/>
          <w:bCs/>
          <w:color w:val="000000"/>
          <w:sz w:val="28"/>
        </w:rPr>
        <w:t xml:space="preserve"> </w:t>
      </w:r>
      <w:r>
        <w:rPr>
          <w:rFonts w:eastAsia="Arial" w:asciiTheme="majorHAnsi" w:hAnsiTheme="majorHAnsi" w:cstheme="majorHAnsi"/>
          <w:b/>
          <w:bCs/>
          <w:color w:val="000000"/>
          <w:sz w:val="28"/>
        </w:rPr>
        <w:t xml:space="preserve">Classes</w:t>
      </w:r>
      <w:r>
        <w:rPr>
          <w:rFonts w:eastAsia="Arial" w:asciiTheme="majorHAnsi" w:hAnsiTheme="majorHAnsi" w:cstheme="majorHAnsi"/>
          <w:b/>
          <w:bCs/>
          <w:color w:val="000000"/>
          <w:sz w:val="28"/>
        </w:rPr>
        <w:t xml:space="preserve">): 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Схема данных, представляющая собой международный стандарт обмена данными в информационном моделировании в области гражданского строительства и эксплуатации зданий и сооружений, благодаря которой 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можно представить ЦИМ ОКС в различных форматах, таких как SPF-IFC, 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ifcXML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 и т.д.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b/>
          <w:bCs/>
          <w:color w:val="000000"/>
          <w:sz w:val="28"/>
        </w:rPr>
        <w:t xml:space="preserve">параметр: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 Значение атрибута объекта, используемое для вычислений.</w:t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SimSun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  <w:r>
        <w:rPr>
          <w:rFonts w:eastAsia="SimSun" w:asciiTheme="majorHAnsi" w:hAnsiTheme="majorHAnsi" w:cstheme="majorHAnsi"/>
          <w:color w:val="000000"/>
          <w:sz w:val="28"/>
          <w:szCs w:val="28"/>
        </w:rPr>
      </w:r>
    </w:p>
    <w:tbl>
      <w:tblPr>
        <w:tblStyle w:val="1172"/>
        <w:tblW w:w="977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776" w:type="dxa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28"/>
              </w:rPr>
              <w:t xml:space="preserve">помещение: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Часть объёма здания или сооружения, имеющая определённое назначение и ограниченная строительными конструкциями.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[[3], статья 2, пункт 2, подпункт 14]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</w:tr>
    </w:tbl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пространственные коллизии: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Дефект, содержащийся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в цифровой информационной модели и заключающийся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в пространственном (геометрическом) пересечении двух или более элементов цифровой информационной модели.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рекогносцировка (здесь):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Предварительное полевое обследование местности для проведения наземного лазерного сканирования с использованием исполнительной цифровой информационной модели объекта капитального строительства.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tbl>
      <w:tblPr>
        <w:tblStyle w:val="1172"/>
        <w:tblW w:w="977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776" w:type="dxa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сооружение: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t xml:space="preserve"> Результат строительства, представляющий собой объемную, плоскостную или линейную строительную систему, имеющую наземную, надземную и (ил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t xml:space="preserve">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грузов.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[[3], статья 2, пункт 2, подпункт 23]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</w:tr>
    </w:tbl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tbl>
      <w:tblPr>
        <w:tblStyle w:val="1172"/>
        <w:tblW w:w="9781" w:type="dxa"/>
        <w:tblInd w:w="-5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781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28"/>
              </w:rPr>
              <w:t xml:space="preserve">строительство: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 Создание зданий, строений, сооружений (в том числе на месте сносимых объектов капитального строительства).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[[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lang w:val="en-US"/>
              </w:rPr>
              <w:t xml:space="preserve">5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], статья 1, пункт 13]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</w:tr>
    </w:tbl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техническое задание на цифровую информационную модель объекта капитального строительства: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Документ, описывающий требования к созданию цифровой информационной модели объекта капитального строительства для всех участников проекта.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 формат BIM-взаимодействия в информационном моделировании (BIM </w:t>
      </w: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Collaboration</w:t>
      </w: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Format</w:t>
      </w: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):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Открытый формат файлов, используемый для обмена информацией об информационных моделях и входящих в их состав цифровых информационных моделях.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цифровая информационная модель объекта капитального строительства: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Совокупность взаимосвязанных инженерно-технических и инженерно-технологических данных об объекте капитального строительства, представленных в цифровом объектно-пространственном виде.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  <w:t xml:space="preserve">цифровая информационная модель 4D (4D-модель): 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Цифровая информационн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ая модель с добавлением времени (даты начала/окончания монтажных и иных работ) в качестве атрибута, назначенного конкретным элементам, а также динамическим элементам на строительной площадке – средствам механизации, временным складам или бытовым городкам. </w:t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pStyle w:val="1157"/>
        <w:numPr>
          <w:ilvl w:val="1"/>
          <w:numId w:val="25"/>
        </w:numPr>
        <w:ind w:left="0"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tbl>
      <w:tblPr>
        <w:tblStyle w:val="1172"/>
        <w:tblW w:w="977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776" w:type="dxa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этапы жизненного цикла объекта капитального строительства: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Временные периоды, в течение которых осуществляются инженерные изыскания, архитектурно-строительное проектирование (включая прохождение экспертизы), строительство (включая ввод в эксплуатацию)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эксплуатация (включая текущие ремонты), реконструкция, капитальный ремонт, снос и утилизация объекта капитального строительства (ликвидация – для производственных объектов).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[СП 333.1325800.2020, пункт 3.1.2]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</w:tr>
    </w:tbl>
    <w:p>
      <w:pPr>
        <w:rPr>
          <w:rFonts w:eastAsia="Arial" w:asciiTheme="majorHAnsi" w:hAnsiTheme="majorHAnsi" w:cstheme="majorHAnsi"/>
          <w:color w:val="1a1a1a"/>
          <w:sz w:val="28"/>
          <w:szCs w:val="28"/>
        </w:rP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709"/>
        <w:jc w:val="both"/>
        <w:spacing w:line="85" w:lineRule="atLeast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5" w:name="_Toc200103624"/>
      <w:r/>
      <w:bookmarkStart w:id="6" w:name="_Toc223349992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Сокращения</w:t>
      </w:r>
      <w:bookmarkEnd w:id="5"/>
      <w:r/>
      <w:bookmarkEnd w:id="6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</w:rPr>
      </w:pPr>
      <w:r>
        <w:rPr>
          <w:rFonts w:eastAsia="Arial" w:asciiTheme="majorHAnsi" w:hAnsiTheme="majorHAnsi" w:cstheme="majorHAnsi"/>
        </w:rPr>
      </w:r>
      <w:r>
        <w:rPr>
          <w:rFonts w:eastAsia="Arial" w:asciiTheme="majorHAnsi" w:hAnsiTheme="majorHAnsi" w:cstheme="majorHAnsi"/>
        </w:rPr>
      </w:r>
      <w:r>
        <w:rPr>
          <w:rFonts w:eastAsia="Arial" w:asciiTheme="majorHAnsi" w:hAnsiTheme="majorHAnsi" w:cstheme="majorHAnsi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В настоящем стандарте применены следующие сокращения: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БД - база данных видов работ;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БП - базовый процесс;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ВОР – ведомость объемов работ;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ГРО – геодезическая разбивочная основа;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ЖЦ – жизненный цикл здания/сооружения;</w:t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ИМ – информационная модель;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КСГ 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–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календарно-сетевой график;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КС-2 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–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акт приемки выполненных работ;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КС-3 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–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справка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о стоимости выполненных работ;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КС-6а - журнал учета выполненных работ;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ОКС – объект капитального строительства;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СМР – строительно-монтажные работы;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ТЛО - облако точек лазерных отражений;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ТЗ на ЦИМ ОКС – техническое задание на цифровую информационную модель объекта капитального строительства;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ТИМ – технологии информационного моделирования;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УКЭП – усиленная квалифицированная электронная подпись;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ЦВОР – цифровая ведомость объемов работ; 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ЦИМ – цифровая информационная модель;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  <w:t xml:space="preserve">BCF – BIM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  <w:t xml:space="preserve">Collaboration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  <w:t xml:space="preserve">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  <w:t xml:space="preserve">Format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  <w:t xml:space="preserve"> (формат BIM-взаимодействия);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  <w:lang w:val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  <w:lang w:val="en-US"/>
        </w:rPr>
        <w:t xml:space="preserve">IFC – Industry Foundation Classes (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отраслевые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val="en-US"/>
        </w:rPr>
        <w:t xml:space="preserve"> 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базовые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val="en-US"/>
        </w:rPr>
        <w:t xml:space="preserve"> 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классы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val="en-US"/>
        </w:rPr>
        <w:t xml:space="preserve">);</w:t>
      </w:r>
      <w:r>
        <w:rPr>
          <w:rFonts w:eastAsia="Arial"/>
          <w:color w:val="000000"/>
          <w:sz w:val="28"/>
          <w:szCs w:val="28"/>
          <w:lang w:val="en-US"/>
        </w:rPr>
      </w:r>
      <w:r>
        <w:rPr>
          <w:rFonts w:eastAsia="Arial"/>
          <w:color w:val="000000"/>
          <w:sz w:val="28"/>
          <w:szCs w:val="28"/>
          <w:lang w:val="en-US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ПИМ – 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  <w:t xml:space="preserve">план реализации проекта с использованием информационного моделирования;</w:t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ЦИМ АР – дисциплинарная цифровая информационная модель «Архитектурные решения»;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ЦИМ КР – дисциплинарная цифровая информационная модель «Конструктивные решения»;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ЦИМ ИОС – дисциплинарная цифровая информационная модель «Инженерное оборудование и сети»;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ЦИМ ТХ – дисциплинарная цифровая информационная модель «Технологические решения».</w:t>
      </w:r>
      <w:r>
        <w:rPr>
          <w:rFonts w:eastAsia="Arial"/>
          <w:color w:val="000000"/>
          <w:sz w:val="28"/>
          <w:szCs w:val="28"/>
        </w:rPr>
      </w:r>
      <w:r>
        <w:rPr>
          <w:rFonts w:eastAsia="Arial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709" w:firstLine="0"/>
        <w:jc w:val="both"/>
        <w:spacing w:line="85" w:lineRule="atLeast"/>
        <w:tabs>
          <w:tab w:val="num" w:pos="0" w:leader="none"/>
        </w:tabs>
        <w:rPr>
          <w:rFonts w:eastAsia="Arial" w:asciiTheme="majorHAnsi" w:hAnsiTheme="majorHAnsi" w:cstheme="majorHAnsi"/>
          <w:bCs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7" w:name="_Toc223349993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Общие требования к ЦИМ ОКС</w:t>
      </w:r>
      <w:bookmarkEnd w:id="7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157"/>
        <w:numPr>
          <w:ilvl w:val="1"/>
          <w:numId w:val="26"/>
        </w:numPr>
        <w:ind w:left="0" w:firstLine="709"/>
        <w:jc w:val="both"/>
        <w:spacing w:line="360" w:lineRule="auto"/>
        <w:tabs>
          <w:tab w:val="left" w:pos="1559" w:leader="none"/>
        </w:tabs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ab/>
        <w:t xml:space="preserve">Общие требования к элементам ЦИМ ОКС и уровню проработки ЦИМ ОКС на различных этапах ЖЦ ОКС включая СМР, общие требования к структуре ЦИМ ОКС, требования к отметкам, уровням и осям ЦИМ ОКС, требования к ПО и информационным системам для работы </w:t>
      </w:r>
      <w:r>
        <w:rPr>
          <w:rFonts w:eastAsia="Arial" w:asciiTheme="majorHAnsi" w:hAnsiTheme="majorHAnsi" w:cstheme="majorHAnsi"/>
          <w:color w:val="000000"/>
          <w:sz w:val="28"/>
        </w:rPr>
        <w:br/>
        <w:t xml:space="preserve">с ЦИМ ОКС, требования к координации ЦИМ ОКС, требования </w:t>
      </w:r>
      <w:r>
        <w:rPr>
          <w:rFonts w:eastAsia="Arial" w:asciiTheme="majorHAnsi" w:hAnsiTheme="majorHAnsi" w:cstheme="majorHAnsi"/>
          <w:color w:val="000000"/>
          <w:sz w:val="28"/>
        </w:rPr>
        <w:br/>
        <w:t xml:space="preserve">к обеспечению юридической значимости файлов, требования к форматам файлов, требования к размеру файлов требования к отсутствию коллизий, общие требования к моделированию разделов АР, КС, ИОС, ТХ (в части общих эл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ементов ТХ), правила именования атрибутов и наборов атрибутов, оформление ЦИМ ОКС в качестве графической части проектной документации приведены в стандарте «Требования к цифровым информационным моделям объектов непроизводственного назначения. Поликлиники».</w:t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5.2</w:t>
      </w:r>
      <w:r>
        <w:rPr>
          <w:rFonts w:eastAsia="Arial" w:asciiTheme="majorHAnsi" w:hAnsiTheme="majorHAnsi" w:cstheme="majorHAnsi"/>
          <w:color w:val="000000"/>
          <w:sz w:val="28"/>
        </w:rPr>
        <w:tab/>
        <w:t xml:space="preserve">Рекомендации к пространственной структуре ЦИМ ОКС описаны в ПНСТ 909-2024. </w:t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contextualSpacing/>
        <w:ind w:firstLine="709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color w:val="000000"/>
          <w:sz w:val="28"/>
          <w:szCs w:val="28"/>
        </w:rP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line="360" w:lineRule="auto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erReference w:type="default" r:id="rId22"/>
          <w:footerReference w:type="even" r:id="rId23"/>
          <w:footerReference w:type="first" r:id="rId24"/>
          <w:footnotePr/>
          <w:endnotePr/>
          <w:type w:val="continuous"/>
          <w:pgSz w:w="11906" w:h="16838" w:orient="portrait"/>
          <w:pgMar w:top="1276" w:right="992" w:bottom="1134" w:left="1134" w:header="709" w:footer="709" w:gutter="0"/>
          <w:cols w:num="1" w:sep="0" w:space="708" w:equalWidth="1"/>
          <w:docGrid w:linePitch="360"/>
        </w:sect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135"/>
        <w:numPr>
          <w:ilvl w:val="0"/>
          <w:numId w:val="23"/>
        </w:numPr>
        <w:contextualSpacing/>
        <w:ind w:left="709" w:hanging="142"/>
        <w:jc w:val="both"/>
        <w:spacing w:line="85" w:lineRule="atLeast"/>
        <w:tabs>
          <w:tab w:val="num" w:pos="0" w:leader="none"/>
        </w:tabs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8" w:name="_Toc223349994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Базовые процессы ведения исполнительной ЦИМ ОКС</w:t>
      </w:r>
      <w:bookmarkEnd w:id="8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ind w:left="709"/>
        <w:jc w:val="both"/>
        <w:spacing w:line="85" w:lineRule="atLeast"/>
        <w:tabs>
          <w:tab w:val="num" w:pos="0" w:leader="none"/>
        </w:tabs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1"/>
          <w:numId w:val="42"/>
        </w:numPr>
        <w:ind w:left="0"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БП ведения ЦИМ ОКС приведены в стандарте «Требования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к цифровым информационным моделям объектов непроизводственного назначения. Поликлиники».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42"/>
        </w:numPr>
        <w:ind w:left="0"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При реализации БП возможно выбрать как все, так и несколько БП ведения исполнительной ЦИМ ОКС в соответствии с настоящим стандартом.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42"/>
        </w:numPr>
        <w:ind w:left="0"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Набор БП ведения исполнительной ЦИМ ОКС указывается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в ТЗ на ЦИМ ОКС.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42"/>
        </w:numPr>
        <w:ind w:left="0"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Схема БП ведения исполнительной ЦИМ ОКС показана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на рисунке 1.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ectPr>
          <w:footnotePr/>
          <w:endnotePr/>
          <w:type w:val="nextPage"/>
          <w:pgSz w:w="11906" w:h="16838" w:orient="portrait"/>
          <w:pgMar w:top="1276" w:right="992" w:bottom="1531" w:left="1276" w:header="709" w:footer="709" w:gutter="0"/>
          <w:cols w:num="1" w:sep="0" w:space="708" w:equalWidth="1"/>
          <w:docGrid w:linePitch="360"/>
        </w:sectP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2082176" behindDoc="0" locked="0" layoutInCell="1" allowOverlap="1">
                <wp:simplePos x="0" y="0"/>
                <wp:positionH relativeFrom="column">
                  <wp:posOffset>-380865</wp:posOffset>
                </wp:positionH>
                <wp:positionV relativeFrom="paragraph">
                  <wp:posOffset>332740</wp:posOffset>
                </wp:positionV>
                <wp:extent cx="9776960" cy="4357465"/>
                <wp:effectExtent l="0" t="0" r="0" b="0"/>
                <wp:wrapSquare wrapText="bothSides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399294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9776960" cy="43574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2082176;o:allowoverlap:true;o:allowincell:true;mso-position-horizontal-relative:text;margin-left:-29.99pt;mso-position-horizontal:absolute;mso-position-vertical-relative:text;margin-top:26.20pt;mso-position-vertical:absolute;width:769.84pt;height:343.11pt;mso-wrap-distance-left:9.07pt;mso-wrap-distance-top:0.00pt;mso-wrap-distance-right:9.07pt;mso-wrap-distance-bottom:0.00pt;" stroked="false">
                <v:path textboxrect="0,0,0,0"/>
                <w10:wrap type="square"/>
                <v:imagedata r:id="rId31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left="709"/>
        <w:jc w:val="both"/>
        <w:spacing w:line="85" w:lineRule="atLeast"/>
        <w:tabs>
          <w:tab w:val="num" w:pos="0" w:leader="none"/>
        </w:tabs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jc w:val="center"/>
        <w:spacing w:line="229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Рисунок 1 –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Схема БП ведения исполнительной ЦИМ ОКС</w:t>
      </w:r>
      <w:r/>
    </w:p>
    <w:p>
      <w:pPr>
        <w:rPr>
          <w:rFonts w:eastAsia="Arial" w:asciiTheme="majorHAnsi" w:hAnsiTheme="majorHAnsi" w:cstheme="majorHAnsi"/>
          <w:color w:val="1a1a1a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276" w:right="1276" w:bottom="992" w:left="1531" w:header="709" w:footer="709" w:gutter="0"/>
          <w:cols w:num="1" w:sep="0" w:space="708" w:equalWidth="1"/>
          <w:docGrid w:linePitch="360"/>
        </w:sectP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567"/>
        <w:jc w:val="both"/>
        <w:spacing w:line="85" w:lineRule="atLeast"/>
        <w:tabs>
          <w:tab w:val="num" w:pos="0" w:leader="none"/>
        </w:tabs>
        <w:rPr>
          <w:rFonts w:eastAsia="Arial" w:asciiTheme="majorHAnsi" w:hAnsiTheme="majorHAnsi" w:cstheme="majorHAnsi"/>
          <w:bCs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9" w:name="_Toc223349995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Атрибутивный состав элементов исполнительной </w:t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br/>
        <w:t xml:space="preserve">ЦИМ ОКС</w:t>
      </w:r>
      <w:bookmarkEnd w:id="9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</w:rPr>
      </w:pPr>
      <w:r>
        <w:rPr>
          <w:rFonts w:eastAsia="Arial" w:asciiTheme="majorHAnsi" w:hAnsiTheme="majorHAnsi" w:cstheme="majorHAnsi"/>
        </w:rPr>
      </w:r>
      <w:r>
        <w:rPr>
          <w:rFonts w:eastAsia="Arial" w:asciiTheme="majorHAnsi" w:hAnsiTheme="majorHAnsi" w:cstheme="majorHAnsi"/>
        </w:rPr>
      </w:r>
      <w:r>
        <w:rPr>
          <w:rFonts w:eastAsia="Arial" w:asciiTheme="majorHAnsi" w:hAnsiTheme="majorHAnsi" w:cstheme="majorHAnsi"/>
        </w:rPr>
      </w:r>
    </w:p>
    <w:p>
      <w:pPr>
        <w:pStyle w:val="1157"/>
        <w:numPr>
          <w:ilvl w:val="1"/>
          <w:numId w:val="27"/>
        </w:numPr>
        <w:ind w:left="0"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Процесс разработки исполнительной ЦИМ ОКС представляет собой процесс наполнения новыми атрибутами элементов ЦИМ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на предыдущем этапе ЖЦ, корректировки и приведения данных исполнительной ЦИМ ОКС к фактическим объемам, приведению исполнительной ЦИМ ОКС к требованиям геометрической детализации в соответствии с требованиями заказчика, иные работы.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7"/>
        </w:numPr>
        <w:ind w:left="0"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Общие группы атрибутов элементов ЦИМ ОКС приведены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в стандарте «Т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ребования к цифровым информационным моделям объектов непроизводственного назначения. Поликлиники».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7"/>
        </w:numPr>
        <w:ind w:left="0"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В зависимости от выбора БП, атрибутивный состав элементов исполнительной ЦИМ ОКС должен соответствовать атрибутивному составу элементов ЦИМ на предшествующем этапе, но при этом элементы исполнительной ЦИМ ОКС дополняются атрибутами, указанными в таблице 1.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Таблица 1 – Рекомендуемый атрибутивный состав элементов исполнительной ЦИМ ОКС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tbl>
      <w:tblPr>
        <w:tblStyle w:val="1458"/>
        <w:tblW w:w="0" w:type="auto"/>
        <w:tblLayout w:type="fixed"/>
        <w:tblLook w:val="04A0" w:firstRow="1" w:lastRow="0" w:firstColumn="1" w:lastColumn="0" w:noHBand="0" w:noVBand="1"/>
      </w:tblPr>
      <w:tblGrid>
        <w:gridCol w:w="4110"/>
        <w:gridCol w:w="2410"/>
        <w:gridCol w:w="3118"/>
      </w:tblGrid>
      <w:tr>
        <w:tblPrEx/>
        <w:trPr>
          <w:trHeight w:val="520"/>
        </w:trPr>
        <w:tc>
          <w:tcPr>
            <w:gridSpan w:val="3"/>
            <w:shd w:val="clear" w:color="auto" w:fill="d9d9d9" w:themeFill="background1" w:themeFillShade="D9"/>
            <w:tcW w:w="9638" w:type="dxa"/>
            <w:textDirection w:val="lrTb"/>
            <w:noWrap w:val="false"/>
          </w:tcPr>
          <w:p>
            <w:pPr>
              <w:contextualSpacing/>
              <w:ind w:firstLine="709"/>
              <w:jc w:val="center"/>
              <w:spacing w:after="200" w:line="229" w:lineRule="atLeast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Все дисциплинарные ЦИМ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r>
          </w:p>
          <w:p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auto" w:fill="d9d9d9" w:themeFill="background1" w:themeFillShade="D9"/>
            <w:tcW w:w="4110" w:type="dxa"/>
            <w:textDirection w:val="lrTb"/>
            <w:noWrap w:val="false"/>
          </w:tcPr>
          <w:p>
            <w:pPr>
              <w:contextualSpacing/>
              <w:jc w:val="center"/>
              <w:spacing w:after="200" w:line="229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Наименование параметра информации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2410" w:type="dxa"/>
            <w:textDirection w:val="lrTb"/>
            <w:noWrap w:val="false"/>
          </w:tcPr>
          <w:p>
            <w:pPr>
              <w:contextualSpacing/>
              <w:jc w:val="center"/>
              <w:spacing w:after="200" w:line="229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Наименование атрибута (IFC)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shd w:val="clear" w:color="ffffff" w:fill="d9d9d9" w:themeFill="background1" w:themeFillShade="D9"/>
            <w:tcW w:w="3118" w:type="dxa"/>
            <w:textDirection w:val="lrTb"/>
            <w:noWrap w:val="false"/>
          </w:tcPr>
          <w:p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Пример заполнения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41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Номер захватки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RUS_DivisionNumber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44"/>
        </w:trPr>
        <w:tc>
          <w:tcPr>
            <w:tcW w:w="41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Дата начала работ плановая 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RUS_StartDatePlan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2022-09-12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41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Дата начала работ фактическая 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RUS_StartDateIs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2022-10-12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64"/>
        </w:trPr>
        <w:tc>
          <w:tcPr>
            <w:tcW w:w="41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Дата окончания работ плановая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RUS_EndDatePlan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2025-09-12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64"/>
        </w:trPr>
        <w:tc>
          <w:tcPr>
            <w:tcW w:w="41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Дата окончания работ фактическая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RUS_EndDateIs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2025-10-12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64"/>
        </w:trPr>
        <w:tc>
          <w:tcPr>
            <w:tcW w:w="41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Исполнительная схема 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RUS_ExecutiveScheme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№1-АР1.1_3 от 15.04.2024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tcW w:w="41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Оси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RUS_Axes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А-И/1-8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64"/>
        </w:trPr>
        <w:tc>
          <w:tcPr>
            <w:tcW w:w="41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Aкт1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r>
            <w:r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r>
            <w:r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r>
          </w:p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Примечание  –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количество атрибутов по актам формируется в зависимости от конкретного элемента 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RUS_Аct1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АОСР №2_1-АР1.1 от 15.04.2024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41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Статус строительства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RUS_ConstructionStatus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Выполнено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64"/>
        </w:trPr>
        <w:tc>
          <w:tcPr>
            <w:tcW w:w="4110" w:type="dxa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Фактический объем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RUS_ 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ActualVolume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20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0,42 м3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r>
          </w:p>
        </w:tc>
      </w:tr>
    </w:tbl>
    <w:p>
      <w:pPr>
        <w:pStyle w:val="1157"/>
        <w:numPr>
          <w:ilvl w:val="1"/>
          <w:numId w:val="27"/>
        </w:numPr>
        <w:ind w:left="0"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Атрибутивный состав элементов исполнительной ЦИМ ОКС может дополняться иными с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троительными параметрами в зависимости от конкретного элемента.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7"/>
        </w:numPr>
        <w:ind w:left="0"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Один элемент может соответствовать множеству видов работ, при этом необходима возможность привязки множества работ к одному элементу. 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7"/>
        </w:numPr>
        <w:ind w:left="0"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В зависимости от возможностей программного обеспечения,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в котором формируется ЦИМ, виды работ в элементе могут отображаться разными способами, например: 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2"/>
          <w:numId w:val="41"/>
        </w:numPr>
        <w:ind w:left="0"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 Множество параметров в элементе: элементы могут отображать несколько видов работ как отдельные атрибуты, как показано на рисунке 2 (например, многослойные конструкции, монтаж и грунтовка, теплоизоляция труб).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left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2083200" behindDoc="0" locked="0" layoutInCell="1" allowOverlap="1">
                <wp:simplePos x="0" y="0"/>
                <wp:positionH relativeFrom="column">
                  <wp:posOffset>1198245</wp:posOffset>
                </wp:positionH>
                <wp:positionV relativeFrom="paragraph">
                  <wp:posOffset>137108</wp:posOffset>
                </wp:positionV>
                <wp:extent cx="4015888" cy="2420290"/>
                <wp:effectExtent l="0" t="0" r="0" b="0"/>
                <wp:wrapSquare wrapText="bothSides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67094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4015886" cy="24202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2083200;o:allowoverlap:true;o:allowincell:true;mso-position-horizontal-relative:text;margin-left:94.35pt;mso-position-horizontal:absolute;mso-position-vertical-relative:text;margin-top:10.80pt;mso-position-vertical:absolute;width:316.21pt;height:190.57pt;mso-wrap-distance-left:9.07pt;mso-wrap-distance-top:0.00pt;mso-wrap-distance-right:9.07pt;mso-wrap-distance-bottom:0.00pt;" stroked="false">
                <v:path textboxrect="0,0,0,0"/>
                <w10:wrap type="square"/>
                <v:imagedata r:id="rId32" o:title=""/>
              </v:shape>
            </w:pict>
          </mc:Fallback>
        </mc:AlternateConten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center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center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Рисунок 2 – Пример отображения нескольких видов работ при формировании нескольких параметров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center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2"/>
          <w:numId w:val="41"/>
        </w:numPr>
        <w:ind w:left="0" w:firstLine="567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953152" behindDoc="0" locked="0" layoutInCell="1" allowOverlap="1">
                <wp:simplePos x="0" y="0"/>
                <wp:positionH relativeFrom="column">
                  <wp:posOffset>823103</wp:posOffset>
                </wp:positionH>
                <wp:positionV relativeFrom="paragraph">
                  <wp:posOffset>1034493</wp:posOffset>
                </wp:positionV>
                <wp:extent cx="4391030" cy="3255244"/>
                <wp:effectExtent l="0" t="0" r="0" b="0"/>
                <wp:wrapSquare wrapText="bothSides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930677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4391029" cy="32552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251953152;o:allowoverlap:true;o:allowincell:true;mso-position-horizontal-relative:text;margin-left:64.81pt;mso-position-horizontal:absolute;mso-position-vertical-relative:text;margin-top:81.46pt;mso-position-vertical:absolute;width:345.75pt;height:256.32pt;mso-wrap-distance-left:9.07pt;mso-wrap-distance-top:0.00pt;mso-wrap-distance-right:9.07pt;mso-wrap-distance-bottom:0.00pt;" stroked="false">
                <v:path textboxrect="0,0,0,0"/>
                <w10:wrap type="square"/>
                <v:imagedata r:id="rId33" o:title=""/>
              </v:shape>
            </w:pict>
          </mc:Fallback>
        </mc:AlternateConten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Сложные параметры: параметры могут заполняться через отдельные интерфейсы (плагины) в одном атрибуте, как показано на рисунке 3.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jc w:val="center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Рисунок 3 – Пример отображения нескольких видов работ при формировании сложных параметров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7"/>
        </w:numPr>
        <w:ind w:left="0"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Способ 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формирования видов работ в элементе, а также допустимое количество видов работ прописываются в ТЗ на ЦИМ ОКС.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27"/>
        </w:numPr>
        <w:ind w:left="0" w:firstLine="567"/>
        <w:jc w:val="both"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Внесенные на этапе осуществления архитектурно-строительного проектирования атрибуты не требуется переименовывать или вносить повторно, в случае если в соответствии с настоящим стандартом указано наличие атрибута, который уже внесен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в исполнительную ЦИМ на предыдущем этапе ЖЦ, если не согласован иной порядок в соответствии с договором, ТЗ на ЦИМ ОКС.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color w:val="000000"/>
          <w:sz w:val="28"/>
          <w:szCs w:val="28"/>
        </w:rP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35"/>
        <w:numPr>
          <w:ilvl w:val="0"/>
          <w:numId w:val="23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10" w:name="_Toc223349996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Состав работ с исполнительной ЦИМ ОКС</w:t>
      </w:r>
      <w:bookmarkEnd w:id="10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1"/>
          <w:numId w:val="80"/>
        </w:numPr>
        <w:ind w:left="0" w:firstLine="851"/>
        <w:jc w:val="both"/>
        <w:rPr>
          <w:rFonts w:eastAsia="Arial" w:asciiTheme="majorHAnsi" w:hAnsiTheme="majorHAnsi" w:cstheme="majorHAnsi"/>
          <w:b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В состав работ по формированию исполнительной ЦИМ ОКС входят:</w:t>
      </w:r>
      <w:r>
        <w:rPr>
          <w:rFonts w:eastAsia="Arial" w:asciiTheme="majorHAnsi" w:hAnsiTheme="majorHAnsi" w:cstheme="majorHAnsi"/>
          <w:b/>
          <w:sz w:val="28"/>
          <w:szCs w:val="28"/>
        </w:rPr>
      </w:r>
      <w:r>
        <w:rPr>
          <w:rFonts w:eastAsia="Arial" w:asciiTheme="majorHAnsi" w:hAnsiTheme="majorHAnsi" w:cstheme="majorHAnsi"/>
          <w:b/>
          <w:sz w:val="28"/>
          <w:szCs w:val="28"/>
        </w:rPr>
      </w:r>
    </w:p>
    <w:p>
      <w:pPr>
        <w:pStyle w:val="1157"/>
        <w:numPr>
          <w:ilvl w:val="2"/>
          <w:numId w:val="79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наполнение элементов исполнительной ЦИМ ОКС новыми атрибутами;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79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разработка КСГ на основе ЦИМ ОКС, разработка ВОР (при необходимости) при формировании КСГ на основе исполнительной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79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валидация ЦИМ ОКС, проверка исполнительной ЦИМ ОКС на отсутствие пространственных коллизий и на соответствие обязательным нормативным документам и технической документации, составление отчетных материалов;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79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проведение работ по лазерному сканированию и проведение план-</w:t>
      </w:r>
      <w:r>
        <w:rPr>
          <w:rFonts w:eastAsia="Arial" w:asciiTheme="majorHAnsi" w:hAnsiTheme="majorHAnsi" w:cstheme="majorHAnsi"/>
          <w:sz w:val="28"/>
          <w:szCs w:val="28"/>
        </w:rPr>
        <w:t xml:space="preserve">фактного</w:t>
      </w:r>
      <w:r>
        <w:rPr>
          <w:rFonts w:eastAsia="Arial" w:asciiTheme="majorHAnsi" w:hAnsiTheme="majorHAnsi" w:cstheme="majorHAnsi"/>
          <w:sz w:val="28"/>
          <w:szCs w:val="28"/>
        </w:rPr>
        <w:t xml:space="preserve"> анализа с составлением отчета;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79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проведение проверки ЦИМ ОКС на временные коллизии, при необходимости устранение временных коллизий и составление отчета;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79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разработка КС-2, КС-3, КС-6а на основе исполнительной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1"/>
          <w:numId w:val="23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Договором может быть предусмотрен иной состав работ по формированию исполнительной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1"/>
          <w:numId w:val="23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Схема проведения работ в процессе строительства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с использованием ЦИМ ОКС приведена на рисунке 4.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left="36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notePr/>
          <w:endnotePr/>
          <w:type w:val="nextPage"/>
          <w:pgSz w:w="11906" w:h="16838" w:orient="portrait"/>
          <w:pgMar w:top="1276" w:right="992" w:bottom="1531" w:left="1276" w:header="709" w:footer="709" w:gutter="0"/>
          <w:cols w:num="1" w:sep="0" w:space="708" w:equalWidth="1"/>
          <w:docGrid w:linePitch="360"/>
        </w:sectPr>
      </w:pP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left="360"/>
        <w:jc w:val="center"/>
        <w:spacing w:line="360" w:lineRule="auto"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2053504" behindDoc="0" locked="0" layoutInCell="1" allowOverlap="1">
                <wp:simplePos x="0" y="0"/>
                <wp:positionH relativeFrom="column">
                  <wp:posOffset>-481394</wp:posOffset>
                </wp:positionH>
                <wp:positionV relativeFrom="paragraph">
                  <wp:posOffset>-44279</wp:posOffset>
                </wp:positionV>
                <wp:extent cx="9710548" cy="4973244"/>
                <wp:effectExtent l="0" t="0" r="0" b="0"/>
                <wp:wrapSquare wrapText="bothSides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956352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rcRect l="0" t="2339" r="0" b="0"/>
                        <a:stretch/>
                      </pic:blipFill>
                      <pic:spPr bwMode="auto">
                        <a:xfrm>
                          <a:off x="0" y="0"/>
                          <a:ext cx="9710547" cy="49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2053504;o:allowoverlap:true;o:allowincell:true;mso-position-horizontal-relative:text;margin-left:-37.91pt;mso-position-horizontal:absolute;mso-position-vertical-relative:text;margin-top:-3.49pt;mso-position-vertical:absolute;width:764.61pt;height:391.59pt;mso-wrap-distance-left:9.07pt;mso-wrap-distance-top:0.00pt;mso-wrap-distance-right:9.07pt;mso-wrap-distance-bottom:0.00pt;" stroked="false">
                <v:path textboxrect="0,0,0,0"/>
                <w10:wrap type="square"/>
                <v:imagedata r:id="rId34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</w:rPr>
        <w:t xml:space="preserve">Рисунок 4 – </w:t>
      </w:r>
      <w:r>
        <w:rPr>
          <w:rFonts w:eastAsia="Arial" w:asciiTheme="majorHAnsi" w:hAnsiTheme="majorHAnsi" w:cstheme="majorHAnsi"/>
          <w:sz w:val="28"/>
          <w:szCs w:val="28"/>
        </w:rPr>
        <w:t xml:space="preserve">Схема проведения работ в процессе строительства с использованием ЦИМ ОКС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rPr>
          <w:rFonts w:eastAsia="Arial" w:asciiTheme="majorHAnsi" w:hAnsiTheme="majorHAnsi" w:cstheme="majorHAnsi"/>
          <w:color w:val="000000"/>
          <w:sz w:val="28"/>
          <w:szCs w:val="28"/>
        </w:rP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keepLines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notePr/>
          <w:endnotePr/>
          <w:type w:val="nextPage"/>
          <w:pgSz w:w="16838" w:h="11906" w:orient="landscape"/>
          <w:pgMar w:top="1276" w:right="1276" w:bottom="992" w:left="1531" w:header="709" w:footer="709" w:gutter="0"/>
          <w:cols w:num="1" w:sep="0" w:space="708" w:equalWidth="1"/>
          <w:docGrid w:linePitch="360"/>
        </w:sectP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35"/>
        <w:numPr>
          <w:ilvl w:val="0"/>
          <w:numId w:val="23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11" w:name="_Toc223349997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Контроль качества исполнительной ЦИМ ОКС</w:t>
      </w:r>
      <w:bookmarkEnd w:id="11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1"/>
          <w:numId w:val="28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Заказчик на регулярной основе обеспечивает осуществление мероприятий по контролю качества исполнительной ЦИМ ОКС: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81"/>
        </w:numPr>
        <w:ind w:left="0" w:firstLine="850"/>
        <w:jc w:val="both"/>
        <w:keepLines/>
        <w:keepNext/>
        <w:spacing w:line="360" w:lineRule="auto"/>
        <w:tabs>
          <w:tab w:val="left" w:pos="1559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осуществление проверки соответствия исполнительной ЦИМ ОКС и исполнительной документации, произведенной на ее основе или являющейся основой для разработки исполнительной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81"/>
        </w:numPr>
        <w:ind w:left="0" w:firstLine="850"/>
        <w:jc w:val="both"/>
        <w:keepLines/>
        <w:keepNext/>
        <w:spacing w:line="360" w:lineRule="auto"/>
        <w:tabs>
          <w:tab w:val="left" w:pos="1559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 осуществление проверки отсутствия всех неиспользуемых внешних ссылок, слоев, объектов, аннотаций, видов и чертежей, которые не относятся к проекту.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81"/>
        </w:numPr>
        <w:ind w:left="0" w:firstLine="850"/>
        <w:jc w:val="both"/>
        <w:keepLines/>
        <w:keepNext/>
        <w:spacing w:line="360" w:lineRule="auto"/>
        <w:tabs>
          <w:tab w:val="left" w:pos="1559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 осуществление проверки элементов конструкций исполнительной ЦИМ ОКС на точность примыканий соединений элементов систем инженерных коммуникаций.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28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Заказчик обеспечивает возможность проведения проверок исполнительной ЦИМ ОКС на: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8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соответствие положениям настоящего стандарта, договора, ТЗ на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8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соответствие требованиям к уровню проработки ЦИМ ОКС, в которые входят: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8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требования к атрибутивному составу элементов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8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требования к геометрической детализации элементов ЦИМ;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8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отсутствие пространственных коллизий и дублирования элементов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8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соответствие требованиям нормативных правовых актов Российской Федерации, обязательных нормативных документов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и технической документации.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  <w:sectPr>
          <w:footerReference w:type="even" r:id="rId25"/>
          <w:footnotePr/>
          <w:endnotePr/>
          <w:type w:val="continuous"/>
          <w:pgSz w:w="11906" w:h="16838" w:orient="portrait"/>
          <w:pgMar w:top="1276" w:right="992" w:bottom="1530" w:left="1134" w:header="709" w:footer="709" w:gutter="0"/>
          <w:cols w:num="1" w:sep="0" w:space="708" w:equalWidth="1"/>
          <w:docGrid w:linePitch="360"/>
        </w:sectPr>
      </w:pP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/>
          <w:bCs/>
          <w:color w:val="1a1a1a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567" w:firstLine="283"/>
        <w:jc w:val="both"/>
        <w:spacing w:line="85" w:lineRule="atLeast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12" w:name="_Toc223349998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Формирование поисковых наборов ЦИМ ОКС</w:t>
      </w:r>
      <w:bookmarkEnd w:id="12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12"/>
          <w:szCs w:val="1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12"/>
          <w:szCs w:val="12"/>
        </w:rPr>
      </w:r>
      <w:r>
        <w:rPr>
          <w:rFonts w:eastAsia="Arial" w:asciiTheme="majorHAnsi" w:hAnsiTheme="majorHAnsi" w:cstheme="majorHAnsi"/>
          <w:sz w:val="12"/>
          <w:szCs w:val="12"/>
        </w:rPr>
      </w:r>
      <w:r>
        <w:rPr>
          <w:rFonts w:eastAsia="Arial" w:asciiTheme="majorHAnsi" w:hAnsiTheme="majorHAnsi" w:cstheme="majorHAnsi"/>
          <w:sz w:val="12"/>
          <w:szCs w:val="12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Поисковые наборы представляют собой совокупность правил фильтрации и сортировки элементов ЦИМ ОКС, необходимые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для упрощения работы с различными элементами ЦИМ ОКС, повышения эффективности анализа и управления данными в ходе ЖЦ ОКС в рамках ЦИМ.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Наборы элементов в ЦИМ ОКС формируются с целью структурирования данных для их дальнейшего использования в процессах группировки элементов ЦИМ ОКС.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Принципы группировки элементов в соответствии с базовыми процессами ведения исполнительной ЦИМ ОКС приведены в приложении Ж.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Принципы группировки поисковых наборов по принципам группировки элементов приведены в приложении И.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Формирование поисковых наборов элементов ЦИМ ОКС может осуществляться на основе как атрибутивных, так и геометрических данных.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Инструменты для группировки элементов ЦИМ ОКС могут быть следующие: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автоматические;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ручные;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смешанные.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Автоматический выбор элементов ЦИМ ОКС осуществляется с помощью </w:t>
      </w:r>
      <w:r>
        <w:rPr>
          <w:rFonts w:eastAsia="Arial" w:asciiTheme="majorHAnsi" w:hAnsiTheme="majorHAnsi" w:cstheme="majorHAnsi"/>
          <w:sz w:val="28"/>
          <w:szCs w:val="28"/>
        </w:rPr>
        <w:t xml:space="preserve">преднастроенных</w:t>
      </w:r>
      <w:r>
        <w:rPr>
          <w:rFonts w:eastAsia="Arial" w:asciiTheme="majorHAnsi" w:hAnsiTheme="majorHAnsi" w:cstheme="majorHAnsi"/>
          <w:sz w:val="28"/>
          <w:szCs w:val="28"/>
        </w:rPr>
        <w:t xml:space="preserve"> алгоритмов работы ПО, упорядочивающих элементы в структуре ЦИМ ОКС, позволяющих идентифицировать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и фильтровать данные элементов ЦИМ.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Ручной выбор элементов ЦИМ ОКС для создания наборов осуществляется путем пользовательской настройки условий поиска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и фильтрации элементов ЦИМ ОКС по их свойствам.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Смешанные группы составляются при помощи как автоматического, так и ручного метода выбора элементов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Результатом создания набора элементов ЦИМ ОКС является фрагмент ЦИМ ОКС, состоящий из элементов ЦИМ ОКС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с искомыми геометрическими и/или атрибутивными данными.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Пример формирования поисковых наборов элементов ЦИМ ОКС и результат группировки в виде фрагмента ЦИМ ОКС отображены на рисунке 5.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center"/>
        <w:spacing w:before="113" w:after="113" w:line="420" w:lineRule="atLeast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2098560" behindDoc="0" locked="0" layoutInCell="1" allowOverlap="1">
                <wp:simplePos x="0" y="0"/>
                <wp:positionH relativeFrom="column">
                  <wp:posOffset>319168</wp:posOffset>
                </wp:positionH>
                <wp:positionV relativeFrom="paragraph">
                  <wp:posOffset>0</wp:posOffset>
                </wp:positionV>
                <wp:extent cx="5891132" cy="6337430"/>
                <wp:effectExtent l="0" t="0" r="0" b="0"/>
                <wp:wrapSquare wrapText="bothSides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600005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891131" cy="63374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252098560;o:allowoverlap:true;o:allowincell:true;mso-position-horizontal-relative:text;margin-left:25.13pt;mso-position-horizontal:absolute;mso-position-vertical-relative:text;margin-top:0.00pt;mso-position-vertical:absolute;width:463.87pt;height:499.01pt;mso-wrap-distance-left:9.07pt;mso-wrap-distance-top:0.00pt;mso-wrap-distance-right:9.07pt;mso-wrap-distance-bottom:0.00pt;" stroked="false">
                <v:path textboxrect="0,0,0,0"/>
                <w10:wrap type="square"/>
                <v:imagedata r:id="rId35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</w:rPr>
        <w:t xml:space="preserve">Рисунок 5 – Пример формирования поисковых наборов элементов ЦИМ ОКС и результат группировки в виде фрагмента ЦИМ ОКС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Группировка элементов ЦИМ ОКС происходит путем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их логического объединения в группы по одному или нескольким условиям формирования поисковых наборов, в зависимости от принципов группировки элементов.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Правила для применения конкретных свойств элементов ЦИМ ОКС для поиска и группировки определяются лицом, ответственным за обработку данных на основе ЦИМ ОКС, в зависимости от целей применения поисковых наборов.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Конкретные правила могут отличаться в зависимости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от требований к проекту с использованием технологий информационного моделирования, и их рекомендуется обозначать в ПИМ.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Принципы группировки элементов ЦИМ ОКС могут быть следующими: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принадлежности элемента ЦИМ ОКС к файлу;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названию файла;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принадлежности элемента ЦИМ ОКС к зданию;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принадлежности элемента ЦИМ ОКС к уровню;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названию уровня;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параметру этажа элемента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категории элемента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дисциплинарному параметру элемента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технической характеристике элемента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марке элемента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материалу элемента ЦИМ ОКС;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параметру расценки элемента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 группировании элементов ЦИМ ОКС допускается использование любых атрибутивных и геометрических характеристик элементов.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Примеры структуры формирования различных поисковых наборов элементов ЦИМ ОКС отображены на рисунке 6.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ind w:left="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670041"/>
                <wp:effectExtent l="0" t="0" r="0" b="0"/>
                <wp:docPr id="7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429712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6120128" cy="46700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81.90pt;height:367.72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b/>
          <w:color w:val="000000"/>
          <w:sz w:val="28"/>
          <w:szCs w:val="28"/>
        </w:rPr>
      </w:pPr>
      <w:r>
        <w:rPr>
          <w:rFonts w:eastAsia="Arial" w:asciiTheme="majorHAnsi" w:hAnsiTheme="majorHAnsi" w:cstheme="majorHAnsi"/>
          <w:b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b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b/>
          <w:color w:val="000000"/>
          <w:sz w:val="28"/>
          <w:szCs w:val="28"/>
        </w:rPr>
      </w:r>
    </w:p>
    <w:p>
      <w:pPr>
        <w:contextualSpacing/>
        <w:ind w:firstLine="709"/>
        <w:jc w:val="center"/>
        <w:spacing w:before="113" w:after="113" w:line="420" w:lineRule="atLeast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Рисунок 6 – Примеры структуры поисковых наборов иерархического типа: а) по разделам, б) по категориям элементов, в) по этажам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before="113" w:after="113" w:line="420" w:lineRule="atLeast"/>
        <w:rPr>
          <w:rFonts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Структура, приведенная на рисунке </w:t>
      </w:r>
      <w:r>
        <w:rPr>
          <w:rFonts w:eastAsia="Arial" w:asciiTheme="majorHAnsi" w:hAnsiTheme="majorHAnsi" w:cstheme="majorHAnsi"/>
          <w:sz w:val="28"/>
          <w:szCs w:val="28"/>
        </w:rPr>
        <w:t xml:space="preserve">6,  применима</w:t>
      </w:r>
      <w:r>
        <w:rPr>
          <w:rFonts w:eastAsia="Arial" w:asciiTheme="majorHAnsi" w:hAnsiTheme="majorHAnsi" w:cstheme="majorHAnsi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при создании любого поискового набора элементов ЦИМ ОКС по принципу задаваемых условий фильтрации элементов по атрибутам.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Формирование поисковых наборов допускается производить по принципу ручного выбора необходимых элементов ЦИМ ОКС из структуры файла проекта (структуры ЦИМ).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Необходимо осуществлять регулярное обновление информации об элементах ЦИМ ОКС, что включает в себя обновление свойств элементов исполнительной ЦИМ ОКС, их геометрических характеристик и привязок к другим объектам.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Для эффективного взаимодействия между исполнителями ЦИМ ОКС рекомендуется установление расписания обновлений и/или периодичности проведения процессов актуализации данных проекта.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Расписание обновлений и/или периодичность проведения процессов актуализации данных проекта указываются в ТЗ на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 изменении структуры ЦИМ ОКС или появлении новых целей применения поисковых наборов элементов ЦИМ ОКС рекомендуется создание новых наборов элементов ЦИМ ОКС,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но и корректировки существующих по условиям и принципам фильтрации.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 редактировании существующих наборов элементов ЦИМ ОКС каждое изменение должно быть внесено с учетом воздействия на результаты поиска и атрибутивный состав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30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Условия, применяемые при редактировании поисковых наборов, рекомендуется утверждать со всеми исполнителями ЦИМ ОКС, осуществляющими процессы поиска, обработки, анализа и экспорта данных на основе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erReference w:type="even" r:id="rId26"/>
          <w:footnotePr/>
          <w:endnotePr/>
          <w:type w:val="nextPage"/>
          <w:pgSz w:w="11906" w:h="16838" w:orient="portrait"/>
          <w:pgMar w:top="1276" w:right="992" w:bottom="1530" w:left="1134" w:header="709" w:footer="709" w:gutter="0"/>
          <w:cols w:num="1" w:sep="0" w:space="708" w:equalWidth="1"/>
          <w:docGrid w:linePitch="360"/>
        </w:sectP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13" w:name="_Toc223349999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Формирование данных для разработки календарного плана на основе ЦИМ ОКС. 4</w:t>
      </w:r>
      <w:r>
        <w:rPr>
          <w:rFonts w:eastAsia="Arial" w:asciiTheme="majorHAnsi" w:hAnsiTheme="majorHAnsi" w:cstheme="majorHAnsi"/>
          <w:color w:val="1a1a1a"/>
          <w:sz w:val="28"/>
          <w:szCs w:val="28"/>
          <w:lang w:val="en-US"/>
        </w:rPr>
        <w:t xml:space="preserve">D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-моделирование</w:t>
      </w:r>
      <w:bookmarkEnd w:id="13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35"/>
        <w:numPr>
          <w:ilvl w:val="1"/>
          <w:numId w:val="31"/>
        </w:numPr>
        <w:contextualSpacing/>
        <w:ind w:left="0" w:firstLine="850"/>
        <w:jc w:val="both"/>
        <w:keepLines/>
        <w:spacing w:before="0" w:line="360" w:lineRule="auto"/>
        <w:rPr>
          <w:rFonts w:asciiTheme="majorHAnsi" w:hAnsiTheme="majorHAnsi" w:cstheme="majorHAnsi"/>
          <w:b w:val="0"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  <w:bCs/>
          <w:sz w:val="28"/>
          <w:szCs w:val="28"/>
        </w:rPr>
        <w:t xml:space="preserve"> </w:t>
      </w:r>
      <w:bookmarkStart w:id="14" w:name="_Toc223350000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Формирование цифровой ведомости объемов работ </w:t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br/>
        <w:t xml:space="preserve">для 4D-модели</w:t>
      </w:r>
      <w:bookmarkEnd w:id="14"/>
      <w:r>
        <w:rPr>
          <w:rFonts w:asciiTheme="majorHAnsi" w:hAnsiTheme="majorHAnsi" w:cstheme="majorHAnsi"/>
          <w:b w:val="0"/>
          <w:bCs/>
          <w:sz w:val="28"/>
          <w:szCs w:val="28"/>
        </w:rPr>
      </w:r>
      <w:r>
        <w:rPr>
          <w:rFonts w:asciiTheme="majorHAnsi" w:hAnsiTheme="majorHAnsi" w:cstheme="majorHAnsi"/>
          <w:b w:val="0"/>
          <w:bCs/>
          <w:sz w:val="28"/>
          <w:szCs w:val="28"/>
        </w:rPr>
      </w:r>
    </w:p>
    <w:p>
      <w:pPr>
        <w:pStyle w:val="1157"/>
        <w:numPr>
          <w:ilvl w:val="2"/>
          <w:numId w:val="29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Для создания 4D-модели на основе БД формируется ЦВОР.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9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БД видов работ для каждого строительного проекта формируются в ПО с функционалом формирования ЦВОР из ЦИМ.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9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ЦВОР для создания 4D-модели экспортируются в формат XML.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29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Рекомендуемая форма ЦВОР на этапе строительства приведена в приложении И.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35"/>
        <w:numPr>
          <w:ilvl w:val="1"/>
          <w:numId w:val="31"/>
        </w:numPr>
        <w:contextualSpacing/>
        <w:ind w:left="0" w:firstLine="850"/>
        <w:jc w:val="both"/>
        <w:keepLines/>
        <w:spacing w:before="0"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bookmarkStart w:id="15" w:name="_Toc223350001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Формирование КСГ</w:t>
      </w:r>
      <w:bookmarkEnd w:id="15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КСГ на основе ЦИМ ОКС разрабатывается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br/>
        <w:t xml:space="preserve">и актуализируется исполнителями.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КСГ для создания 4D-модели формируется на основе ЦВОР и сметы контракта.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Уровни детализации календарно-сетевого графика: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У КСГ может быть 5-6 уровней иерархии структуры работ. На рисунке 7 показано соответствие документации, необходимой для формирования 4D-модели, каждому уровню.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ind w:firstLine="709"/>
        <w:jc w:val="both"/>
        <w:keepLines/>
        <w:keepNext/>
        <w:spacing w:line="360" w:lineRule="auto"/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919360" behindDoc="0" locked="0" layoutInCell="1" allowOverlap="1">
                <wp:simplePos x="0" y="0"/>
                <wp:positionH relativeFrom="column">
                  <wp:posOffset>-276930</wp:posOffset>
                </wp:positionH>
                <wp:positionV relativeFrom="paragraph">
                  <wp:posOffset>70257</wp:posOffset>
                </wp:positionV>
                <wp:extent cx="6397060" cy="1889132"/>
                <wp:effectExtent l="0" t="0" r="0" b="0"/>
                <wp:wrapSquare wrapText="bothSides"/>
                <wp:docPr id="8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86503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6397058" cy="1889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position:absolute;z-index:251919360;o:allowoverlap:true;o:allowincell:true;mso-position-horizontal-relative:text;margin-left:-21.81pt;mso-position-horizontal:absolute;mso-position-vertical-relative:text;margin-top:5.53pt;mso-position-vertical:absolute;width:503.71pt;height:148.75pt;mso-wrap-distance-left:9.07pt;mso-wrap-distance-top:0.00pt;mso-wrap-distance-right:9.07pt;mso-wrap-distance-bottom:0.00pt;" stroked="false">
                <v:path textboxrect="0,0,0,0"/>
                <w10:wrap type="square"/>
                <v:imagedata r:id="rId37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pStyle w:val="1157"/>
        <w:ind w:left="0" w:firstLine="709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Рисунок 7 – Схема соответствия документации уровням КСГ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ind w:left="0" w:firstLine="709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Основной состав столбцов табличной части КСГ включает: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столбец «Идентификатор структуры» (составной атрибут, который содержит информацию об уровне работы);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столбец «Имя работы»;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столбец «Ограничение по срокам»;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столбец «Базовое начало»;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столбец «Базовое окончание»;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столбец «Продолжительность».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 При формировании 4D-модели в процессе СМР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br/>
        <w:t xml:space="preserve">и загрузке исполнительной ЦИМ ОКС в КСГ необходимо добавить столбцы «Фактическое начало» и «Фактическое окончание» для контроля графика реализации работ.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Содержание КСГ в зависимости от уровней детализации: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0-ой уровень: отображается в виде одной строки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br/>
        <w:t xml:space="preserve">на диаграмме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Ганта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. Отражает начало и конец реализации всего проекта, а также показывает его масштаб на временной шкале, обладает малым прикладным значением. При формировании КСГ в ПО для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br/>
        <w:t xml:space="preserve">4D-моделирования самая первая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верхнеуровневая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работа будет иметь параметр, равный 0 у атрибута «Идентификатор структуры».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1-ый уровень: структура графика работ 1-го уровня детализируется на работы, соответствующие основным эта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пам ЖЦ. Содержит основные вехи проекта. В таблицу введен столбец «Ограничение по срокам», который отображает, у какой работы может быть смещение по срокам. Нулевой и первый уровни КСГ в некоторых случаях могут представлять одну и ту же степень детализации.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2-ой уровень: описывает этап проектирования объекта, процесс СМР, а также этапы ввода объекта в эксплуатацию и передачи его на баланс.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3-ий уровень: отображает основные работы, производимые по архитектурному, конструктивному, а также инженерным разделам.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4-ый уровень: данный уровень формируется из видов работ согласно смете контракта.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5-ый уровень: детализация определяется запросами пользователя. Данный уровень формируется из объемов строительных материалов, работ и ресурсов.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5-й уровень детализации также применяется на этапе СМР для контроля хода выполнения работ и актуализации данных ЦИМ ОКС. Взаимосвязь ЦИМ, структуры КСГ и сметной документацией показана на рисунке 8.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ind w:left="709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ind w:left="709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935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-102059</wp:posOffset>
                </wp:positionV>
                <wp:extent cx="6489550" cy="2170965"/>
                <wp:effectExtent l="0" t="0" r="0" b="0"/>
                <wp:wrapSquare wrapText="bothSides"/>
                <wp:docPr id="9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65399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489549" cy="21709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position:absolute;z-index:251935744;o:allowoverlap:true;o:allowincell:true;mso-position-horizontal-relative:text;margin-left:0.00pt;mso-position-horizontal:absolute;mso-position-vertical-relative:text;margin-top:-8.04pt;mso-position-vertical:absolute;width:510.99pt;height:170.94pt;mso-wrap-distance-left:9.07pt;mso-wrap-distance-top:0.00pt;mso-wrap-distance-right:9.07pt;mso-wrap-distance-bottom:0.00pt;" stroked="false">
                <v:path textboxrect="0,0,0,0"/>
                <w10:wrap type="square"/>
                <v:imagedata r:id="rId38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contextualSpacing/>
        <w:ind w:firstLine="709"/>
        <w:jc w:val="center"/>
        <w:keepLines/>
        <w:keepNext/>
        <w:spacing w:line="360" w:lineRule="auto"/>
        <w:shd w:val="clear" w:color="ffffff" w:fill="ffffff"/>
        <w:tabs>
          <w:tab w:val="left" w:pos="1701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Рисунок 8</w:t>
      </w:r>
      <w:r>
        <w:rPr>
          <w:rFonts w:eastAsia="Arial" w:asciiTheme="majorHAnsi" w:hAnsiTheme="majorHAnsi" w:cstheme="majorHAnsi"/>
          <w:color w:val="ff0000"/>
          <w:sz w:val="28"/>
        </w:rPr>
        <w:t xml:space="preserve"> 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– Взаимосвязь ЦИМ, структуры КСГ и сметной документацией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center"/>
        <w:keepLines/>
        <w:keepNext/>
        <w:spacing w:line="360" w:lineRule="auto"/>
        <w:shd w:val="clear" w:color="ffffff" w:fill="ffffff"/>
        <w:tabs>
          <w:tab w:val="left" w:pos="1701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numPr>
          <w:ilvl w:val="3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По мере осуществления строительных работ, каждая корректировка сметы контракта должна соответствовать изменениям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br/>
        <w:t xml:space="preserve">в графике и перечне выполняемых объемов работ.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В процессе назначения последовательности работ в КСГ при помощи ПО для 4D-моделирования необходимо избегать циклических зависимостей, их наличие может приводить к ошибкам функционирования ПО.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/>
          <w:sz w:val="28"/>
          <w:szCs w:val="28"/>
        </w:rPr>
        <w:t xml:space="preserve">Д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ля контроля за выполнением работ в срок, р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аботы отражаются в «целевом плане» с фактическими датами выполнения работ. После заполнения фактической даты начала и окончания той или иной работы, на графике можно будет отследить опережение или отставание от изначального плана, как показано на рисунке 9</w:t>
      </w:r>
      <w:r>
        <w:rPr>
          <w:rFonts w:eastAsia="Arial"/>
          <w:color w:val="1a1a1a"/>
          <w:sz w:val="28"/>
          <w:szCs w:val="28"/>
        </w:rPr>
        <w:t xml:space="preserve">.</w:t>
      </w:r>
      <w:r>
        <w:rPr>
          <w:rFonts w:eastAsia="Arial"/>
          <w:color w:val="1a1a1a"/>
          <w:sz w:val="28"/>
          <w:szCs w:val="28"/>
        </w:rPr>
      </w:r>
      <w:r>
        <w:rPr>
          <w:rFonts w:eastAsia="Arial"/>
          <w:color w:val="1a1a1a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Пример формирования КСГ приведен в приложении К.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r/>
      <w:r/>
    </w:p>
    <w:p>
      <w:pPr>
        <w:contextualSpacing/>
        <w:jc w:val="both"/>
        <w:keepLines/>
        <w:keepNext/>
        <w:spacing w:line="360" w:lineRule="auto"/>
        <w:tabs>
          <w:tab w:val="left" w:pos="1276" w:leader="none"/>
        </w:tabs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60104</wp:posOffset>
                </wp:positionV>
                <wp:extent cx="6114415" cy="3071495"/>
                <wp:effectExtent l="0" t="0" r="635" b="0"/>
                <wp:wrapSquare wrapText="bothSides"/>
                <wp:docPr id="10" name="Рисунок 1555739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028709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6114415" cy="3071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z-index:251664384;o:allowoverlap:true;o:allowincell:true;mso-position-horizontal-relative:margin;mso-position-horizontal:left;mso-position-vertical-relative:text;margin-top:4.73pt;mso-position-vertical:absolute;width:481.45pt;height:241.85pt;mso-wrap-distance-left:9.07pt;mso-wrap-distance-top:0.00pt;mso-wrap-distance-right:9.07pt;mso-wrap-distance-bottom:0.00pt;" stroked="false">
                <v:path textboxrect="0,0,0,0"/>
                <w10:wrap type="square"/>
                <v:imagedata r:id="rId39" o:title=""/>
              </v:shape>
            </w:pict>
          </mc:Fallback>
        </mc:AlternateConten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center"/>
        <w:keepLines/>
        <w:keepNext/>
        <w:spacing w:line="360" w:lineRule="auto"/>
        <w:shd w:val="clear" w:color="ffffff" w:fill="ffffff"/>
        <w:tabs>
          <w:tab w:val="left" w:pos="1701" w:leader="none"/>
        </w:tabs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</w:rPr>
        <w:t xml:space="preserve">Рисунок 9 – Пример диаграммы 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Ганта</w:t>
      </w:r>
      <w:r>
        <w:rPr>
          <w:rFonts w:eastAsia="Arial" w:asciiTheme="majorHAnsi" w:hAnsiTheme="majorHAnsi" w:cstheme="majorHAnsi"/>
          <w:color w:val="000000"/>
          <w:sz w:val="28"/>
        </w:rPr>
        <w:t xml:space="preserve"> с изменением фактических дат</w:t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bCs/>
          <w:color w:val="1a1a1a"/>
          <w:sz w:val="28"/>
          <w:szCs w:val="28"/>
        </w:rPr>
      </w:pP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</w:p>
    <w:p>
      <w:pPr>
        <w:pStyle w:val="1135"/>
        <w:numPr>
          <w:ilvl w:val="1"/>
          <w:numId w:val="31"/>
        </w:numPr>
        <w:contextualSpacing/>
        <w:ind w:left="0" w:firstLine="850"/>
        <w:jc w:val="both"/>
        <w:keepLines/>
        <w:spacing w:before="0"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 </w:t>
      </w:r>
      <w:bookmarkStart w:id="16" w:name="_Toc223350002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Сроки и порядок передачи заказчику КСГ на основе ЦИМ ОКС</w:t>
      </w:r>
      <w:bookmarkEnd w:id="16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Формирование и ведение КСГ исполнителем осуществляется в информационной системе, в которой ведется исполнительная ЦИМ.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Обновление информации в КСГ осуществляется исполнителем в сроки, установленные в ТЗ на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Заказчик осуществляет проверку актуальности КСГ, сформированного на основе исполнительной ЦИМ ОКС.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1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итогам проверки исполнитель вносит актуальную информацию о выполнении работ в КСГ в соответствии со сроками, установленными в договоре, и в соответствующей информационной системе.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17" w:name="_Toc223350003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Наземное лазерное сканирование с ЦИМ ОКС для создания ТЛО и план-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фактного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анализа</w:t>
      </w:r>
      <w:bookmarkEnd w:id="17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35"/>
        <w:numPr>
          <w:ilvl w:val="1"/>
          <w:numId w:val="37"/>
        </w:numPr>
        <w:contextualSpacing/>
        <w:ind w:left="0" w:firstLine="850"/>
        <w:jc w:val="both"/>
        <w:keepLines/>
        <w:spacing w:before="0" w:line="360" w:lineRule="auto"/>
        <w:rPr>
          <w:rFonts w:eastAsia="Arial" w:asciiTheme="majorHAnsi" w:hAnsiTheme="majorHAnsi" w:cstheme="majorHAnsi"/>
          <w:bCs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 </w:t>
      </w:r>
      <w:bookmarkStart w:id="18" w:name="_Toc223350004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Общие положения проведения наземного лазерного сканирования с ЦИМ ОКС</w:t>
      </w:r>
      <w:bookmarkEnd w:id="18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</w:r>
    </w:p>
    <w:p>
      <w:pPr>
        <w:pStyle w:val="1157"/>
        <w:numPr>
          <w:ilvl w:val="2"/>
          <w:numId w:val="38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 Лазерное сканирование представляет собой метод оперативного получения данных о существующих объектах, в ходе проведения которого исполнительная ЦИМ представляется в виде ТЛО.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38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Проведение лазерного сканирования осуществляется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соответствии с ГОСТ Р 71863-2024 и ГОСТ Р 72225-2025.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38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Техническое задание и технический проект производства работ для проведения лазерного сканирования составляются заказчиком в соответствии с ГОСТ Р 72225-2025.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38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Файлы ТЛО должны быть переданы в форматах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E57, PTX, RCP или иных форматах.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38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ТЛО должно быть предоставлено с этажа (захватки)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местной системе координат в форматах E57, RCP, PTS (</w:t>
      </w:r>
      <w:r>
        <w:rPr>
          <w:rFonts w:eastAsia="Arial" w:asciiTheme="majorHAnsi" w:hAnsiTheme="majorHAnsi" w:cstheme="majorHAnsi"/>
          <w:sz w:val="28"/>
          <w:szCs w:val="28"/>
        </w:rPr>
        <w:t xml:space="preserve">смартпойнтс</w:t>
      </w:r>
      <w:r>
        <w:rPr>
          <w:rFonts w:eastAsia="Arial" w:asciiTheme="majorHAnsi" w:hAnsiTheme="majorHAnsi" w:cstheme="majorHAnsi"/>
          <w:sz w:val="28"/>
          <w:szCs w:val="28"/>
        </w:rPr>
        <w:t xml:space="preserve">) или иных форматах.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35"/>
        <w:numPr>
          <w:ilvl w:val="1"/>
          <w:numId w:val="37"/>
        </w:numPr>
        <w:contextualSpacing/>
        <w:ind w:left="0" w:firstLine="850"/>
        <w:jc w:val="both"/>
        <w:keepLines/>
        <w:spacing w:before="0"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bookmarkStart w:id="19" w:name="_Toc223350005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Правила наименования файлов лазерного сканирования с ЦИМ ОКС</w:t>
      </w:r>
      <w:bookmarkEnd w:id="19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2"/>
          <w:numId w:val="39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Наименование файлов лазерного сканирования рекомендуется структурировать и разбивать по полям для однозначной идентификации объекта/подобъекта сканирования.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39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Для корректного отображения наименования файлов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специализированном ПО рекомендуется прописывать наименования коротко на русском языке или прописывать названия на латинице.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39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 наименовании файлов ТЛО рекомендуется соблюдать следующий набор полей: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ind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&lt;Поле </w:t>
      </w:r>
      <w:r>
        <w:rPr>
          <w:rFonts w:eastAsia="Arial" w:asciiTheme="majorHAnsi" w:hAnsiTheme="majorHAnsi" w:cstheme="majorHAnsi"/>
          <w:sz w:val="28"/>
          <w:szCs w:val="28"/>
        </w:rPr>
        <w:t xml:space="preserve">1&gt;&lt;</w:t>
      </w:r>
      <w:r>
        <w:rPr>
          <w:rFonts w:eastAsia="Arial" w:asciiTheme="majorHAnsi" w:hAnsiTheme="majorHAnsi" w:cstheme="majorHAnsi"/>
          <w:sz w:val="28"/>
          <w:szCs w:val="28"/>
        </w:rPr>
        <w:t xml:space="preserve">_&gt;&lt;Поле 2&gt;&lt;_&gt;&lt;Поле 3&gt;&lt;_&gt;&lt;Поле 4&gt;&lt;_&gt;&lt;Поле 5&gt;, где: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8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в поле 1 указывается шифр или наименование проекта;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8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в поле </w:t>
      </w:r>
      <w:r>
        <w:rPr>
          <w:rFonts w:eastAsia="Arial" w:asciiTheme="majorHAnsi" w:hAnsiTheme="majorHAnsi" w:cstheme="majorHAnsi"/>
          <w:sz w:val="28"/>
          <w:szCs w:val="28"/>
        </w:rPr>
        <w:t xml:space="preserve">2  указывается</w:t>
      </w:r>
      <w:r>
        <w:rPr>
          <w:rFonts w:eastAsia="Arial" w:asciiTheme="majorHAnsi" w:hAnsiTheme="majorHAnsi" w:cstheme="majorHAnsi"/>
          <w:sz w:val="28"/>
          <w:szCs w:val="28"/>
        </w:rPr>
        <w:t xml:space="preserve"> раздел, по которому выполнено ТЛО;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8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в поле 3 указывается номер этажа;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8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в поле 4 указывается номер точки ТЛО;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82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поле 5 для пользовательских комментариев.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35"/>
        <w:numPr>
          <w:ilvl w:val="1"/>
          <w:numId w:val="37"/>
        </w:numPr>
        <w:contextualSpacing/>
        <w:ind w:left="0" w:firstLine="850"/>
        <w:jc w:val="both"/>
        <w:keepLines/>
        <w:spacing w:before="0"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bookmarkStart w:id="20" w:name="_Toc223350006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Подтверждение объемов работ по результатам лазерного сканирования («статусная модель») с ЦИМ ОКС</w:t>
      </w:r>
      <w:bookmarkEnd w:id="20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2"/>
          <w:numId w:val="40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Приемочный контроль в части соответствия объемов выполненных работ документации проекта может осуществляться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с применением технологий лазерного сканирования в следующей последовательности: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329"/>
        <w:numPr>
          <w:ilvl w:val="3"/>
          <w:numId w:val="18"/>
        </w:numPr>
        <w:contextualSpacing/>
        <w:ind w:left="0" w:firstLine="709"/>
        <w:jc w:val="both"/>
        <w:spacing w:before="0" w:beforeAutospacing="0" w:after="0" w:afterAutospacing="0" w:line="360" w:lineRule="auto"/>
        <w:tabs>
          <w:tab w:val="left" w:pos="156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первоначальный выезд специалистов геодезической службы на ОКС и наземное лазерное сканирование отдельных готовых элементов или выполненных фронтов работ в местной системе координат (системе координат ЦИМ ОКС);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3"/>
          <w:numId w:val="18"/>
        </w:numPr>
        <w:contextualSpacing/>
        <w:ind w:left="0" w:firstLine="709"/>
        <w:jc w:val="both"/>
        <w:spacing w:before="0" w:beforeAutospacing="0" w:after="0" w:afterAutospacing="0" w:line="360" w:lineRule="auto"/>
        <w:tabs>
          <w:tab w:val="left" w:pos="1560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камеральная обработка и уравнивание данных (линейно-угловых измерений), на основе которых ТЛО приводятся в нужную систему координат и высот;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3"/>
          <w:numId w:val="18"/>
        </w:numPr>
        <w:contextualSpacing/>
        <w:ind w:left="0" w:firstLine="709"/>
        <w:jc w:val="both"/>
        <w:spacing w:before="0" w:beforeAutospacing="0" w:after="0" w:afterAutospacing="0" w:line="360" w:lineRule="auto"/>
        <w:tabs>
          <w:tab w:val="left" w:pos="1560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корректировка ТЛО от лишних неиспользуемых точек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в ПО, работающем с типом сканера, используемом при сканировании ОКС;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3"/>
          <w:numId w:val="18"/>
        </w:numPr>
        <w:contextualSpacing/>
        <w:ind w:left="0" w:firstLine="709"/>
        <w:jc w:val="both"/>
        <w:spacing w:before="0" w:beforeAutospacing="0" w:after="0" w:afterAutospacing="0" w:line="360" w:lineRule="auto"/>
        <w:tabs>
          <w:tab w:val="left" w:pos="1560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выгрузка общего ТЛО в обменный формат данных;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3"/>
          <w:numId w:val="18"/>
        </w:numPr>
        <w:contextualSpacing/>
        <w:ind w:left="0" w:firstLine="709"/>
        <w:jc w:val="both"/>
        <w:spacing w:before="0" w:beforeAutospacing="0" w:after="0" w:afterAutospacing="0" w:line="360" w:lineRule="auto"/>
        <w:tabs>
          <w:tab w:val="left" w:pos="1560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загрузка ТЛО в ПО, позволяющее сравнить его с ЦИМ. 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2"/>
          <w:numId w:val="40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Процесс импорта ЦИМ ОКС и ТЛО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специализированное ПО показан на рисунке 10.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670295"/>
                <wp:effectExtent l="0" t="0" r="0" b="6350"/>
                <wp:docPr id="11" name="Рисунок 59" descr="C:\Users\User\AppData\Local\Microsoft\Windows\INetCache\Content.MSO\A821D42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1526192" name="Picture 23" descr="C:\Users\User\AppData\Local\Microsoft\Windows\INetCache\Content.MSO\A821D421.t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6210299" cy="1670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89.00pt;height:131.52pt;mso-wrap-distance-left:0.00pt;mso-wrap-distance-top:0.00pt;mso-wrap-distance-right:0.00pt;mso-wrap-distance-bottom:0.00pt;" stroked="f">
                <v:path textboxrect="0,0,0,0"/>
                <v:imagedata r:id="rId40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447"/>
        <w:contextualSpacing/>
        <w:ind w:firstLine="709"/>
        <w:jc w:val="center"/>
        <w:spacing w:before="0" w:beforeAutospacing="0" w:after="0" w:afterAutospacing="0" w:line="360" w:lineRule="auto"/>
        <w:tabs>
          <w:tab w:val="left" w:pos="1560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Рисунок 10 – Импорт в специализированное ПО: 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447"/>
        <w:contextualSpacing/>
        <w:ind w:firstLine="709"/>
        <w:jc w:val="center"/>
        <w:spacing w:before="0" w:beforeAutospacing="0" w:after="0" w:afterAutospacing="0" w:line="360" w:lineRule="auto"/>
        <w:tabs>
          <w:tab w:val="left" w:pos="1560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а – ЦИМ ОКС; б – фрагмента ТЛО подвального этажа ОКС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447"/>
        <w:contextualSpacing/>
        <w:ind w:firstLine="709"/>
        <w:jc w:val="center"/>
        <w:spacing w:before="0" w:beforeAutospacing="0" w:after="0" w:afterAutospacing="0" w:line="360" w:lineRule="auto"/>
        <w:tabs>
          <w:tab w:val="left" w:pos="1560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2"/>
          <w:numId w:val="40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Процесс сравнения ТЛО с ЦИМ ОКС показан на рисунке 11.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2513352"/>
                <wp:effectExtent l="0" t="0" r="0" b="1270"/>
                <wp:docPr id="12" name="Рисунок 62" descr="C:\Users\User\AppData\Local\Microsoft\Windows\INetCache\Content.MSO\A4D5C313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 descr="C:\Users\User\AppData\Local\Microsoft\Windows\INetCache\Content.MSO\A4D5C313.t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6210300" cy="2513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89.00pt;height:197.90pt;mso-wrap-distance-left:0.00pt;mso-wrap-distance-top:0.00pt;mso-wrap-distance-right:0.00pt;mso-wrap-distance-bottom:0.00pt;" stroked="f">
                <v:path textboxrect="0,0,0,0"/>
                <v:imagedata r:id="rId41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447"/>
        <w:contextualSpacing/>
        <w:ind w:firstLine="709"/>
        <w:jc w:val="center"/>
        <w:spacing w:before="0" w:beforeAutospacing="0" w:after="0" w:afterAutospacing="0" w:line="360" w:lineRule="auto"/>
        <w:tabs>
          <w:tab w:val="left" w:pos="156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Рисунок 11 – Сравнение ТЛО и ЦИМ ОКС с цветовой визуализацией (подсветкой) отклонений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left="1069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40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В зависимости от ПО производится: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329"/>
        <w:numPr>
          <w:ilvl w:val="3"/>
          <w:numId w:val="61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276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получение ТЛО, окрашенного по отклонениям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от модели; 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3"/>
          <w:numId w:val="61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276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окраска элементов модели согласно статусу (присутствует, отсутствует, не определено и т.д.);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3"/>
          <w:numId w:val="61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276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осуществление автоматической сортировки элементов фронта работ по статусам (готов, не готов) и выгрузка проектных данных;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3"/>
          <w:numId w:val="61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276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расчёт и подтверждение объемов готовых элементов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для ведомости подсчета выполненных работ.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157"/>
        <w:numPr>
          <w:ilvl w:val="2"/>
          <w:numId w:val="40"/>
        </w:numPr>
        <w:ind w:left="0" w:firstLine="850"/>
        <w:jc w:val="both"/>
        <w:keepLines/>
        <w:keepNext/>
        <w:spacing w:line="360" w:lineRule="auto"/>
        <w:tabs>
          <w:tab w:val="left" w:pos="1701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Рекомендуемое обозначение окраски элементов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на примере рисунка 13: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73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Красный: критические отклонения от 4 см и больше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положительную сторону.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73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Желтый: допустимые отклонения от 2 см до 3,5 см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положительную сторону (например, стена толще на 3 см).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73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Голубой: допустимые отклонения от 2 см до 3,5 см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отрицательную сторону (например, стена тоньше на 3 см).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73"/>
        </w:numPr>
        <w:ind w:left="0" w:firstLine="850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Синий: критические отклонения от 4 см и больше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отрицательную сторону (например, стена тоньше положенного).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35"/>
        <w:numPr>
          <w:ilvl w:val="1"/>
          <w:numId w:val="37"/>
        </w:numPr>
        <w:contextualSpacing/>
        <w:ind w:left="0" w:firstLine="850"/>
        <w:jc w:val="both"/>
        <w:keepLines/>
        <w:spacing w:before="0"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bookmarkStart w:id="21" w:name="_Toc223350007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Отчетные материалы и приемка работ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br/>
        <w:t xml:space="preserve">по лазерному сканированию с ЦИМ ОКС</w:t>
      </w:r>
      <w:bookmarkEnd w:id="21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37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итогам проведения лазерного сканирования исполнителем формируется отчетная документация согласно приложению В, после чего передается заказчику.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7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Заказчиком осуществляется приемка промежуточных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и заключительных этапов работ, выполняемых в рамках работ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по лазерному сканированию.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7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 итогу анализа полученных результатов лазерного сканирования заказчик формирует отчет, на основании которого принимается решение о качестве предоставленного ТЛО. Форма отчета утверждается заказчиком самостоятельно.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7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В случае досрочного прекращения работ (нецелесообразность дальнейшего проведения работ) заказчику предоставляется перечень необходимой документации на дату прекращения работ.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7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В случае несоответствия результатов работ заказчик направляет исполнителю возражения и замечания с требованием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об устранении выявленных недостатков.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7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Исполнитель устраняет выявленные при приемке выполненных работ недостатки и (или) обеспечивает их устранение третьими лицами.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7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После устранения недостатков исполнитель повторно представляет результаты работ и документы, подтверждающие устранение выявленных недостатков.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37"/>
        </w:numPr>
        <w:contextualSpacing/>
        <w:ind w:left="0" w:firstLine="850"/>
        <w:jc w:val="both"/>
        <w:keepLines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План-график приемки результатов лазерного сканирования объекта капитального строительства приведен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приложении В.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rPr>
          <w:rFonts w:eastAsia="Arial" w:asciiTheme="majorHAnsi" w:hAnsiTheme="majorHAnsi" w:cstheme="majorHAnsi"/>
          <w:color w:val="000000"/>
          <w:sz w:val="28"/>
          <w:szCs w:val="28"/>
        </w:rP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bookmarkStart w:id="22" w:name="_Toc223350008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Проверка ЦИМ ОКС на временные коллизии</w:t>
      </w:r>
      <w:bookmarkEnd w:id="22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35"/>
        <w:numPr>
          <w:ilvl w:val="1"/>
          <w:numId w:val="23"/>
        </w:numPr>
        <w:contextualSpacing/>
        <w:ind w:left="142" w:firstLine="709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 </w:t>
      </w:r>
      <w:bookmarkStart w:id="23" w:name="_Toc223350009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Понятие и виды временных коллизий</w:t>
      </w:r>
      <w:bookmarkEnd w:id="23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2"/>
          <w:numId w:val="63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Временные коллизии возникают в ЦИМ ОКС, когда одна или несколько частей проекта (например, строительные и динамические элементы, оборудование) занимают одно и то же пространство в одно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и то же время, что приводит к конфликтам и проблемам в процессе строительства.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63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В процессе строительства возникают следующие виды временных коллизий: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64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Коллизии ме</w:t>
      </w:r>
      <w:r>
        <w:rPr>
          <w:rFonts w:eastAsia="Arial" w:asciiTheme="majorHAnsi" w:hAnsiTheme="majorHAnsi" w:cstheme="majorHAnsi"/>
          <w:sz w:val="28"/>
          <w:szCs w:val="28"/>
        </w:rPr>
        <w:t xml:space="preserve">жду рабочими процессами: различные строительные процессы (например, бетонирование, укладка электрических сетей, водопроводных работ) могут требовать доступа к одним и тем же участкам в одно и то же время, что требует тщательного планирования и координации;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64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Коллизии между динамическими элементами: движущиеся или стационарные объекты, такие как краны, грузовики, строительные машины, также могут вызывать коллизии в пространстве и времени при выполнении работ на строительной площадке;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64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Технологические ограничения: некоторые рабочие процессы могут иметь временные ограничения, например, некоторые виды работ нельзя проводить одновременно в виду технологий выполнения работ;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64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Перемещение оборудования и материалов: перемещение оборудования, строительных материалов и средств механизации через строительную площадку может вызвать пространственно-временные коллизии и препятствия для других рабочих процессов.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63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t xml:space="preserve">Пример схемы возникновения временных коллизий при наложении путей перемещения материалов, обозначенных как «куб 1» и «куб 2», и экскаватора представлен на рисунке 12.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right="-1" w:firstLine="709"/>
        <w:jc w:val="both"/>
        <w:keepLines/>
        <w:keepNext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Theme="majorHAnsi" w:hAnsiTheme="majorHAnsi" w:cstheme="majorHAnsi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  <wp:simplePos x="0" y="0"/>
                <wp:positionH relativeFrom="column">
                  <wp:posOffset>-102361</wp:posOffset>
                </wp:positionH>
                <wp:positionV relativeFrom="paragraph">
                  <wp:posOffset>-57913</wp:posOffset>
                </wp:positionV>
                <wp:extent cx="6542021" cy="4048992"/>
                <wp:effectExtent l="0" t="0" r="0" b="0"/>
                <wp:wrapSquare wrapText="bothSides"/>
                <wp:docPr id="13" name="Рисунок 6281852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350466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6542019" cy="4048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position:absolute;z-index:251666432;o:allowoverlap:true;o:allowincell:true;mso-position-horizontal-relative:text;margin-left:-8.06pt;mso-position-horizontal:absolute;mso-position-vertical-relative:text;margin-top:-4.56pt;mso-position-vertical:absolute;width:515.12pt;height:318.82pt;mso-wrap-distance-left:9.07pt;mso-wrap-distance-top:0.00pt;mso-wrap-distance-right:9.07pt;mso-wrap-distance-bottom:0.00pt;" stroked="false">
                <v:path textboxrect="0,0,0,0"/>
                <w10:wrap type="square"/>
                <v:imagedata r:id="rId42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Рисунок 12 – Схема возникновения временных коллизий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right="-1" w:firstLine="709"/>
        <w:jc w:val="both"/>
        <w:keepLines/>
        <w:keepNext/>
        <w:spacing w:line="360" w:lineRule="auto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35"/>
        <w:numPr>
          <w:ilvl w:val="1"/>
          <w:numId w:val="23"/>
        </w:numPr>
        <w:contextualSpacing/>
        <w:ind w:left="142" w:firstLine="709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bookmarkStart w:id="24" w:name="_Toc223350010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Процесс проверки ЦИМ ОКС на временные коллизии</w:t>
      </w:r>
      <w:bookmarkEnd w:id="24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numPr>
          <w:ilvl w:val="2"/>
          <w:numId w:val="75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Исполнитель проводит проверку на временные коллизии ЦИМ ОКС, обеспечивает их отсутствие, а в случае возникновения временных коллизий обеспечивает устранение временных коллизий.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75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Проверка ЦИМ ОКС на временные коллизии позволяет выявить и устранить конфликты в последовательности выполнения работ, а также оптимизировать сроки строительства и повысить эффективность управления проектом.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numPr>
          <w:ilvl w:val="2"/>
          <w:numId w:val="75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Выделяются следующие этапы </w:t>
      </w:r>
      <w:r>
        <w:rPr>
          <w:rFonts w:eastAsia="Arial" w:asciiTheme="majorHAnsi" w:hAnsiTheme="majorHAnsi" w:cstheme="majorHAnsi"/>
          <w:sz w:val="28"/>
          <w:szCs w:val="28"/>
        </w:rPr>
        <w:t xml:space="preserve">проверки  ЦИМ</w:t>
      </w:r>
      <w:r>
        <w:rPr>
          <w:rFonts w:eastAsia="Arial" w:asciiTheme="majorHAnsi" w:hAnsiTheme="majorHAnsi" w:cstheme="majorHAnsi"/>
          <w:sz w:val="28"/>
          <w:szCs w:val="28"/>
        </w:rPr>
        <w:t xml:space="preserve"> ОКС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на временные коллизии: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3"/>
          <w:numId w:val="4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Подготовка к проверке: 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5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на этапе подготовки к проверке ЦИМ ОКС на временные коллизии необходимо определить цель проверки, какие аспекты временных коллизий необходимо проверить (например, пересечение работ, недоступность ресурсов, логические ошибки в последовательности задач);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5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для проверки необходимо убедиться, что в </w:t>
      </w:r>
      <w:r>
        <w:rPr>
          <w:rFonts w:eastAsia="Arial" w:asciiTheme="majorHAnsi" w:hAnsiTheme="majorHAnsi" w:cstheme="majorHAnsi"/>
          <w:sz w:val="28"/>
          <w:szCs w:val="28"/>
        </w:rPr>
        <w:t xml:space="preserve">ЦИМ ОКС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включены все необходимые данные, такие как календарный план, график выполнения работ, ресурсы (люди, техника, материалы) и их доступность;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5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для проведения проверки необходимо провести настройку программного обеспечения. Необходимо использовать специализированные программы для работы с </w:t>
      </w:r>
      <w:r>
        <w:rPr>
          <w:rFonts w:eastAsia="Arial" w:asciiTheme="majorHAnsi" w:hAnsiTheme="majorHAnsi" w:cstheme="majorHAnsi"/>
          <w:sz w:val="28"/>
          <w:szCs w:val="28"/>
        </w:rPr>
        <w:t xml:space="preserve">ЦИМ ОКС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, которые поддерживают анализ временных коллизий.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3"/>
          <w:numId w:val="4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Импорт данных: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0"/>
          <w:numId w:val="66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для импорта данных необходимо загрузить в программное обеспечение: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5"/>
        </w:numPr>
        <w:ind w:left="0" w:firstLine="709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ЦИМ ОКС;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5"/>
        </w:numPr>
        <w:ind w:left="0" w:firstLine="709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КСГ;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5"/>
        </w:numPr>
        <w:ind w:left="0" w:firstLine="709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данные о ресурсах (при необходимости).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0"/>
          <w:numId w:val="66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данные должны быть синхронизированы и корректно связаны между собой.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3"/>
          <w:numId w:val="4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Настройка временной шкалы.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0"/>
          <w:numId w:val="67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элементы ЦИМ ОКС необходимо связать с задачами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из КСГ. Каждому элементу модели (например, конструкции, оборудованию) должна быть присвоена временная метка (начало и окончание работ);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0"/>
          <w:numId w:val="67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необходимо проверить корректность временных меток и их соответствие реальным срокам выполнения работ.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3"/>
          <w:numId w:val="4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Запуск анализа временных коллизий.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8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для выявления коллизий в программном обеспечении необходимо использовать инструменты анализа;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8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например, могут быть использованы следующие инструменты анализа: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4D-анализ: визуализация выполнения работ во времени;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 проверка пересечения задач: выявление ситуаций, когда две или более задачи выполняются одновременно в одном месте;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анализ доступности ресурсов: проверка достаточности ресурсов для выполнения задач в указанные сроки. 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8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необходимо произвести настройку параметров анализа (точность проверки, временные интервалы и т.д.).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3"/>
          <w:numId w:val="4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Анализ результатов.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9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после завершения анализа временных коллизий в программном обеспечении формируется отчет;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9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при анализе отчета необходимо обратить внимание на следующие показатели: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7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конфликты в последовательности работ (например, монтаж оборудования до завершения строительства стен и другие);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7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пересечение задач, которые требуют одних и тех же ресурсов;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7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логические ошибки в графике (например, задачи, которые должны выполняться последовательно, но запланированы одновременно).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9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для лучшего понимания и анализа рекомендуется визуализировать коллизии на ЦИМ ОКС и временной шкале.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3"/>
          <w:numId w:val="4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Устранение коллизий.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0"/>
          <w:numId w:val="70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устранение коллизий производится путем внесения изменений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в КСГ И ЦИМ ОКС, а именно необходимо: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8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пересмотреть последовательность задач;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8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перераспределить ресурсы;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0"/>
          <w:numId w:val="8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уточнить сроки выполнения работ.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69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после внесения изменений в календарный план необходимо повторно запустить анализ для подтверждения устранения коллизий.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3"/>
          <w:numId w:val="4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Интеграция с другими процессами.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71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устранение временных коллизий не должно создавать новых коллизий;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71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после проведения проверки ЦИМ ОКС на временные коллизии необходимо синхронизировать обновленные данные с другими системами управления проектом.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3"/>
          <w:numId w:val="4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Документирование результатов и итоговая отчетность.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0"/>
          <w:numId w:val="72"/>
        </w:numPr>
        <w:ind w:left="0" w:firstLine="850"/>
        <w:jc w:val="both"/>
        <w:keepLines/>
        <w:keepNext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 результатом проведения проверки ЦИМ ОКС на временные коллизии является составление отчета о выявленных коллизиях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br/>
        <w:t xml:space="preserve">и внесенных изменениях в ЦИМ ОКС.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color w:val="000000"/>
          <w:sz w:val="28"/>
          <w:szCs w:val="28"/>
        </w:rPr>
      </w:pPr>
      <w:r>
        <w:rPr>
          <w:rFonts w:eastAsia="Arial" w:asciiTheme="majorHAnsi" w:hAnsiTheme="majorHAnsi" w:cstheme="majorHAnsi"/>
          <w:color w:val="000000"/>
          <w:sz w:val="28"/>
          <w:szCs w:val="28"/>
          <w:highlight w:val="yellow"/>
        </w:rPr>
        <w:br w:type="page" w:clear="all"/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bookmarkStart w:id="25" w:name="_Toc223350011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Формирование КС-2, КС-3 и КС-6а на основ</w:t>
      </w:r>
      <w:r>
        <w:rPr>
          <w:rFonts w:eastAsia="Arial" w:asciiTheme="majorHAnsi" w:hAnsiTheme="majorHAnsi" w:cstheme="majorHAnsi"/>
          <w:color w:val="000000" w:themeColor="text1"/>
          <w:sz w:val="28"/>
          <w:szCs w:val="28"/>
        </w:rPr>
        <w:t xml:space="preserve">е </w:t>
      </w:r>
      <w:r>
        <w:rPr>
          <w:rFonts w:eastAsia="Arial" w:asciiTheme="majorHAnsi" w:hAnsiTheme="majorHAnsi" w:cstheme="majorHAnsi"/>
          <w:bCs/>
          <w:color w:val="000000" w:themeColor="text1"/>
          <w:sz w:val="28"/>
          <w:szCs w:val="28"/>
        </w:rPr>
        <w:t xml:space="preserve">данных</w:t>
      </w:r>
      <w:r>
        <w:rPr>
          <w:rFonts w:eastAsia="Arial" w:asciiTheme="majorHAnsi" w:hAnsiTheme="majorHAnsi" w:cstheme="majorHAnsi"/>
          <w:color w:val="000000" w:themeColor="text1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исполнительной ЦИМ ОКС</w:t>
      </w:r>
      <w:bookmarkEnd w:id="25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1"/>
          <w:numId w:val="74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eastAsia="Arial" w:asciiTheme="majorHAnsi" w:hAnsiTheme="majorHAnsi" w:cstheme="majorHAnsi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bCs/>
          <w:sz w:val="28"/>
          <w:szCs w:val="28"/>
        </w:rPr>
        <w:t xml:space="preserve"> Формирование КС-2 и КС-3 на основе данных исполнительной ЦИМ ОКС </w:t>
      </w:r>
      <w:r>
        <w:rPr>
          <w:rFonts w:eastAsia="Arial" w:asciiTheme="majorHAnsi" w:hAnsiTheme="majorHAnsi" w:cstheme="majorHAnsi"/>
          <w:b/>
          <w:bCs/>
          <w:sz w:val="28"/>
          <w:szCs w:val="28"/>
        </w:rPr>
      </w:r>
      <w:r>
        <w:rPr>
          <w:rFonts w:eastAsia="Arial" w:asciiTheme="majorHAnsi" w:hAnsiTheme="majorHAnsi" w:cstheme="majorHAnsi"/>
          <w:b/>
          <w:bCs/>
          <w:sz w:val="28"/>
          <w:szCs w:val="28"/>
        </w:rPr>
      </w:r>
    </w:p>
    <w:p>
      <w:pPr>
        <w:pStyle w:val="1157"/>
        <w:numPr>
          <w:ilvl w:val="2"/>
          <w:numId w:val="43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КС-2 и КС-3 возможно формировать на основе данных исполнительной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43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КС-2 и КС-3 передается Заказчику в составе исполнительной документации.</w:t>
      </w: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43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Для формирования акта КС-2 и справки КС-3 в систему должна быть загружена исполнительная ЦИМ.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43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Элементам исполнительной ЦИМ ОКС должен быть присвоен атрибут «Наименование вида работ».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43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 формировании акта КС-2 и справки КС-3 атрибут «Наименование вида работ» выгружается автоматически в графу «Наименование работ» КС-2 и в графу 2 «Наименование пусковых комплексов, этапов, объектов, видов выполненных работ, оборудования, затрат» КС-3.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43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Полученный акт КС-2 и справка КС-3 долж</w:t>
      </w:r>
      <w:r>
        <w:rPr>
          <w:rFonts w:eastAsia="Arial" w:asciiTheme="majorHAnsi" w:hAnsiTheme="majorHAnsi" w:cstheme="majorHAnsi"/>
          <w:sz w:val="28"/>
          <w:szCs w:val="28"/>
        </w:rPr>
        <w:t xml:space="preserve">ны быть связаны с исполнительной ЦИМ ОКС таким образом, чтобы при выборе КС-2 или КС-3 в исполнительной ЦИМ ОКС выделялись элементы ЦИМ, привязанные к данным документам. Также, при выборе элемента исполнительной ЦИМ ОКС, должны отображаться КС-2 или КС-3,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к которым привязан данный элемент исполнительной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4"/>
        </w:numPr>
        <w:ind w:left="0" w:firstLine="850"/>
        <w:jc w:val="both"/>
        <w:spacing w:line="360" w:lineRule="auto"/>
        <w:tabs>
          <w:tab w:val="left" w:pos="1417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b/>
          <w:bCs/>
          <w:sz w:val="28"/>
          <w:szCs w:val="28"/>
        </w:rPr>
        <w:t xml:space="preserve"> Формирование КС-6а на основе данных исполнительной ЦИМ ОКС </w:t>
      </w:r>
      <w:r/>
    </w:p>
    <w:p>
      <w:pPr>
        <w:pStyle w:val="1157"/>
        <w:numPr>
          <w:ilvl w:val="2"/>
          <w:numId w:val="44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Журнал учета выполненных работ КС-6а возможно формировать на основе данных исполнительной ЦИМ ОКС.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44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КС-6а ведется в процессе СМР на основе данных ЦИМ ОКС и передается заказчику в составе исполнительной документации.</w:t>
      </w: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</w:p>
    <w:p>
      <w:pPr>
        <w:pStyle w:val="1157"/>
        <w:numPr>
          <w:ilvl w:val="2"/>
          <w:numId w:val="44"/>
        </w:numPr>
        <w:ind w:left="0" w:firstLine="850"/>
        <w:jc w:val="both"/>
        <w:spacing w:line="360" w:lineRule="auto"/>
        <w:tabs>
          <w:tab w:val="left" w:pos="1417" w:leader="none"/>
        </w:tabs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Для формирования КС-6а из исполнительной ЦИМ ОКС необходимо выгрузить набор атрибутов, необходимых для заполнения формы.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26" w:name="_Toc223350012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Формирование исполнительных схем на основе исполнительной ЦИМ ОКС</w:t>
      </w:r>
      <w:bookmarkEnd w:id="26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1"/>
          <w:numId w:val="76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Исполнительную ЦИМ ОКС рекомендуется формировать таким образом, чтобы она обеспечивала возможность формирования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на ее основе исполнительных схем.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6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Исполнительные схемы, сформированные на основе исполнительной ЦИМ ОКС, представляют собой планы, аксонометрические схемы или фрагменты трёхмерных видов ЦИМ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в формате BCF.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6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Исполнительные схемы на основе исполнительной ЦИМ ОКС формируются в специализированном ПО.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6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Формирование исполнительных схем осуществляется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 на основе соответствующей дисциплинарной ЦИМ.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6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 Данные о сформированной исполнительной схеме отображаются в соответствующем атрибуте.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6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Исполнительные схемы подписываются </w:t>
      </w:r>
      <w:r>
        <w:rPr>
          <w:rFonts w:eastAsia="Arial" w:asciiTheme="majorHAnsi" w:hAnsiTheme="majorHAnsi" w:cstheme="majorHAnsi"/>
          <w:sz w:val="28"/>
          <w:szCs w:val="28"/>
        </w:rPr>
        <w:t xml:space="preserve">электронной подписью</w:t>
      </w:r>
      <w:r>
        <w:rPr>
          <w:rFonts w:eastAsia="Arial" w:asciiTheme="majorHAnsi" w:hAnsiTheme="majorHAnsi" w:cstheme="majorHAnsi"/>
          <w:sz w:val="28"/>
          <w:szCs w:val="28"/>
        </w:rPr>
        <w:t xml:space="preserve"> в соответствии с требованиями </w:t>
      </w:r>
      <w:r>
        <w:rPr>
          <w:rFonts w:eastAsia="Arial" w:asciiTheme="majorHAnsi" w:hAnsiTheme="majorHAnsi" w:cstheme="majorHAnsi"/>
          <w:sz w:val="28"/>
          <w:szCs w:val="28"/>
        </w:rPr>
        <w:t xml:space="preserve">[</w:t>
      </w:r>
      <w:r>
        <w:rPr>
          <w:rFonts w:eastAsia="Arial" w:asciiTheme="majorHAnsi" w:hAnsiTheme="majorHAnsi" w:cstheme="majorHAnsi"/>
          <w:sz w:val="28"/>
          <w:szCs w:val="28"/>
        </w:rPr>
        <w:t xml:space="preserve">4</w:t>
      </w:r>
      <w:r>
        <w:rPr>
          <w:rFonts w:eastAsia="Arial" w:asciiTheme="majorHAnsi" w:hAnsiTheme="majorHAnsi" w:cstheme="majorHAnsi"/>
          <w:sz w:val="28"/>
          <w:szCs w:val="28"/>
        </w:rPr>
        <w:t xml:space="preserve">]</w:t>
      </w:r>
      <w:r>
        <w:rPr>
          <w:rFonts w:eastAsia="Arial" w:asciiTheme="majorHAnsi" w:hAnsiTheme="majorHAnsi" w:cstheme="majorHAnsi"/>
          <w:sz w:val="28"/>
          <w:szCs w:val="28"/>
        </w:rPr>
        <w:t xml:space="preserve">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6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Исполнительные схемы </w:t>
      </w:r>
      <w:bookmarkStart w:id="27" w:name="_GoBack"/>
      <w:r/>
      <w:bookmarkEnd w:id="27"/>
      <w:r>
        <w:rPr>
          <w:rFonts w:eastAsia="Arial" w:asciiTheme="majorHAnsi" w:hAnsiTheme="majorHAnsi" w:cstheme="majorHAnsi"/>
          <w:sz w:val="28"/>
          <w:szCs w:val="28"/>
        </w:rPr>
        <w:t xml:space="preserve">могут формироваться на основе съемок технологии лазерного сканирования из ТЛО.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6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Перечень исполнительных схем, сформированных на основе исполнительной ЦИМ ОКС, представлен в приложении Г.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6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Примеры исполнительных схем, сформированных на основе исполнительной ЦИМ ОКС, представлены в приложении Д.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28" w:name="_Toc223350013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Результаты и правила передачи исполнительной ЦИМ ОКС после завершения строительных работ</w:t>
      </w:r>
      <w:bookmarkEnd w:id="28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1"/>
          <w:numId w:val="77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После завершения каждого БП ведения исполнительной ЦИМ ОКС формируется результат, который оформляется в форме электронных документов.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7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</w:t>
      </w:r>
      <w:r>
        <w:rPr>
          <w:rFonts w:eastAsia="Arial" w:asciiTheme="majorHAnsi" w:hAnsiTheme="majorHAnsi" w:cstheme="majorHAnsi"/>
          <w:sz w:val="28"/>
          <w:szCs w:val="28"/>
        </w:rPr>
        <w:t xml:space="preserve">Результаты БП</w:t>
      </w:r>
      <w:r>
        <w:rPr>
          <w:rFonts w:eastAsia="Arial" w:asciiTheme="majorHAnsi" w:hAnsiTheme="majorHAnsi" w:cstheme="majorHAnsi"/>
          <w:sz w:val="28"/>
          <w:szCs w:val="28"/>
        </w:rPr>
        <w:t xml:space="preserve"> ведения исполнительной ЦИМ ОКС приведен в таблице 2.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ind w:left="360" w:firstLine="49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Таблица 2 – Результаты БП ведения исполнительной ЦИМ ОКС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tbl>
      <w:tblPr>
        <w:tblStyle w:val="1172"/>
        <w:tblW w:w="0" w:type="auto"/>
        <w:tblLayout w:type="fixed"/>
        <w:tblLook w:val="04A0" w:firstRow="1" w:lastRow="0" w:firstColumn="1" w:lastColumn="0" w:noHBand="0" w:noVBand="1"/>
      </w:tblPr>
      <w:tblGrid>
        <w:gridCol w:w="3401"/>
        <w:gridCol w:w="4677"/>
        <w:gridCol w:w="1559"/>
      </w:tblGrid>
      <w:tr>
        <w:tblPrEx/>
        <w:trPr>
          <w:trHeight w:val="30"/>
        </w:trPr>
        <w:tc>
          <w:tcPr>
            <w:tcW w:w="340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  <w:t xml:space="preserve">Наименование БП</w:t>
            </w:r>
            <w:r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  <w:t xml:space="preserve">Результат БП </w:t>
            </w:r>
            <w:r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  <w:t xml:space="preserve">Формат </w:t>
            </w:r>
            <w:r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b/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W w:w="3401" w:type="dxa"/>
            <w:vMerge w:val="restart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Формирование данных для разработки календарного плана на основе ЦИМ ОКС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ОКС, включающая дисциплинарные: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АР;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КР;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ИОС;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ТХ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IFC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  <w:tr>
        <w:tblPrEx/>
        <w:trPr/>
        <w:tc>
          <w:tcPr>
            <w:tcW w:w="3401" w:type="dxa"/>
            <w:vMerge w:val="continue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КСГ, сформированный на основе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 ОКС и связанный с ней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XML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  <w:tr>
        <w:tblPrEx/>
        <w:trPr>
          <w:trHeight w:val="1467"/>
        </w:trPr>
        <w:tc>
          <w:tcPr>
            <w:tcW w:w="3401" w:type="dxa"/>
            <w:vMerge w:val="restart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Контроль хода строительства на основе данных ЦИМ ОКС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ОКС, включающая дисциплинарные: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АР;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КР;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ИОС;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ТХ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IFC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  <w:tr>
        <w:tblPrEx/>
        <w:trPr>
          <w:trHeight w:val="230"/>
        </w:trPr>
        <w:tc>
          <w:tcPr>
            <w:tcW w:w="34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Результаты «план-факт» анализа на основе проведение лазерного сканирования с использованием ЦИМ ОКС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XML,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  <w:tr>
        <w:tblPrEx/>
        <w:trPr>
          <w:trHeight w:val="230"/>
        </w:trPr>
        <w:tc>
          <w:tcPr>
            <w:tcW w:w="34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ТЛО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E57, PTX, RCP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  <w:tr>
        <w:tblPrEx/>
        <w:trPr/>
        <w:tc>
          <w:tcPr>
            <w:tcW w:w="3401" w:type="dxa"/>
            <w:vMerge w:val="restart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Ведение исполнительной документации на основе данных ЦИМ ОКС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ОКС, включающая дисциплинарные: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АР;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КР;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ИОС;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ЦИМ ТХ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IFC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  <w:tr>
        <w:tblPrEx/>
        <w:trPr/>
        <w:tc>
          <w:tcPr>
            <w:tcW w:w="3401" w:type="dxa"/>
            <w:vMerge w:val="continue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КС-2, КС-3, КС-6а, сформированные на основе данных исполнительной ЦИМ ОКС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XML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  <w:tr>
        <w:tblPrEx/>
        <w:trPr>
          <w:trHeight w:val="230"/>
        </w:trPr>
        <w:tc>
          <w:tcPr>
            <w:tcW w:w="34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Исполнительные схемы, сформированные на основе данных исполнительной ЦИМ ОКС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XML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  <w:tr>
        <w:tblPrEx/>
        <w:trPr/>
        <w:tc>
          <w:tcPr>
            <w:tcW w:w="3401" w:type="dxa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Формирование сведений для подготовки ЗОС на основе данных из ЦИМ ОКС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Данные для формирования ЗОС, выгруженные на основе исполнительной ЦИМ ОКС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XML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  <w:tr>
        <w:tblPrEx/>
        <w:trPr/>
        <w:tc>
          <w:tcPr>
            <w:tcW w:w="3401" w:type="dxa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Формирование сведений для подготовки разрешения на ввод в эксплуатацию на основе данных из ЦИМ ОКС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sz w:val="28"/>
                <w:szCs w:val="28"/>
              </w:rPr>
              <w:t xml:space="preserve">Данные для формирования разрешения на ввод 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  <w:br/>
              <w:t xml:space="preserve">в эксплуатацию, выгруженные на основе исполнительной ЦИМ ОКС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eastAsia="Arial"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XML</w:t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sz w:val="28"/>
                <w:szCs w:val="28"/>
              </w:rPr>
            </w:r>
          </w:p>
        </w:tc>
      </w:tr>
    </w:tbl>
    <w:p>
      <w:pPr>
        <w:ind w:left="36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7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Руководитель проекта подписывает передаваемую исполнительную ЦИМ ОКС электронной подписью в соответствии 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с требованиями законодательства Российской Федерации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об электронной подписи.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7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Исполнительная ЦИМ ОКС передается исключительно вместе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с исполнительной документацией в составе ИМ ОКС после завершения этапа осуществления строительства ОКС и подписания всех сведений, документов и материалов, входящих в состав ИМ ОКС на указанном этапе в соответствии с [3].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7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 консервации или прекращении строительства должна быть сформирована исполнительная ЦИМ ОКС, учитывающая весь объем выполненных работ на момент консервации (прекращения) строительства.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7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При передаче исполнительной ЦИМ ОКС подписывается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акт о приемке исполнительной ЦИМ ОКС согласно приложению Е.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57"/>
        <w:numPr>
          <w:ilvl w:val="1"/>
          <w:numId w:val="77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После завершения процесса строительства на основании исполнительной ЦИМ ОКС формируется эксплуатационная ЦИМ ОКС.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keepLines/>
        <w:keepNext/>
        <w:spacing w:line="360" w:lineRule="auto"/>
        <w:rPr>
          <w:rFonts w:eastAsia="Arial" w:asciiTheme="majorHAnsi" w:hAnsiTheme="majorHAnsi" w:cstheme="majorHAnsi"/>
          <w:sz w:val="28"/>
          <w:szCs w:val="28"/>
          <w:highlight w:val="yellow"/>
        </w:rPr>
      </w:pPr>
      <w:r>
        <w:rPr>
          <w:rFonts w:eastAsia="Arial" w:asciiTheme="majorHAnsi" w:hAnsiTheme="majorHAnsi" w:cstheme="majorHAnsi"/>
          <w:sz w:val="28"/>
          <w:szCs w:val="28"/>
          <w:highlight w:val="yellow"/>
        </w:rPr>
      </w:r>
      <w:r>
        <w:rPr>
          <w:rFonts w:eastAsia="Arial" w:asciiTheme="majorHAnsi" w:hAnsiTheme="majorHAnsi" w:cstheme="majorHAnsi"/>
          <w:sz w:val="28"/>
          <w:szCs w:val="28"/>
          <w:highlight w:val="yellow"/>
        </w:rPr>
      </w:r>
      <w:r>
        <w:rPr>
          <w:rFonts w:eastAsia="Arial" w:asciiTheme="majorHAnsi" w:hAnsiTheme="majorHAnsi" w:cstheme="majorHAnsi"/>
          <w:sz w:val="28"/>
          <w:szCs w:val="28"/>
          <w:highlight w:val="yellow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35"/>
        <w:numPr>
          <w:ilvl w:val="0"/>
          <w:numId w:val="23"/>
        </w:numPr>
        <w:contextualSpacing/>
        <w:ind w:left="0" w:firstLine="850"/>
        <w:jc w:val="both"/>
        <w:spacing w:line="360" w:lineRule="auto"/>
        <w:rPr>
          <w:rFonts w:eastAsia="Arial" w:asciiTheme="majorHAnsi" w:hAnsiTheme="majorHAnsi" w:cstheme="majorHAnsi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29" w:name="_Toc223350014"/>
      <w:r>
        <w:rPr>
          <w:rFonts w:eastAsia="Arial" w:asciiTheme="majorHAnsi" w:hAnsiTheme="majorHAnsi" w:cstheme="majorHAnsi"/>
          <w:color w:val="1a1a1a"/>
          <w:sz w:val="28"/>
          <w:szCs w:val="28"/>
        </w:rPr>
        <w:t xml:space="preserve">Рекомендации к ПО для разработки исполнительной </w:t>
      </w:r>
      <w:r>
        <w:rPr>
          <w:rFonts w:eastAsia="Arial" w:asciiTheme="majorHAnsi" w:hAnsiTheme="majorHAnsi" w:cstheme="majorHAnsi"/>
          <w:color w:val="1a1a1a"/>
          <w:sz w:val="28"/>
          <w:szCs w:val="28"/>
        </w:rPr>
        <w:br/>
        <w:t xml:space="preserve">ЦИМ ОКС</w:t>
      </w:r>
      <w:bookmarkEnd w:id="29"/>
      <w:r>
        <w:rPr>
          <w:rFonts w:eastAsia="Arial" w:asciiTheme="majorHAnsi" w:hAnsiTheme="majorHAnsi" w:cstheme="majorHAnsi"/>
          <w:color w:val="1a1a1a"/>
          <w:sz w:val="28"/>
          <w:szCs w:val="28"/>
        </w:rPr>
      </w:r>
      <w:r>
        <w:rPr>
          <w:rFonts w:eastAsia="Arial" w:asciiTheme="majorHAnsi" w:hAnsiTheme="majorHAnsi" w:cstheme="majorHAnsi"/>
          <w:color w:val="1a1a1a"/>
          <w:sz w:val="28"/>
          <w:szCs w:val="28"/>
        </w:rPr>
      </w:r>
    </w:p>
    <w:p>
      <w:pPr>
        <w:pStyle w:val="1157"/>
        <w:numPr>
          <w:ilvl w:val="1"/>
          <w:numId w:val="78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Для разработки исполнительной ЦИМ ОКС рекомендуется использовать ПО, которое соответствует: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329"/>
        <w:numPr>
          <w:ilvl w:val="2"/>
          <w:numId w:val="19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843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общим требованиям;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2"/>
          <w:numId w:val="19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843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функциональным требованиям.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78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К общим требованиям ПО относятся: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329"/>
        <w:numPr>
          <w:ilvl w:val="2"/>
          <w:numId w:val="20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совместимость: ПО совместимо с операционными системами, которые используются при формировании исполнительной ЦИМ ОКС.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20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безопасность: ПО обеспечивает защиту данных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от несанкционированного доступа и поддерживает современные методы шифрования;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2"/>
          <w:numId w:val="20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надежность: ПО устойчиво к сбоям, обеспечивает сохранность данных при аварийных ситуациях;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2"/>
          <w:numId w:val="20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производительность: ПО обеспечивает высокую производительность при работе с большими объемами данных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и сложными моделями.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78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К функциональным требованиям ПО относятся: 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329"/>
        <w:numPr>
          <w:ilvl w:val="2"/>
          <w:numId w:val="62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создание и редактирование файлов ЦИМ: ПО позволяет формировать и актуализировать </w:t>
      </w:r>
      <w:r>
        <w:rPr>
          <w:rFonts w:eastAsia="Arial" w:asciiTheme="majorHAnsi" w:hAnsiTheme="majorHAnsi" w:cstheme="majorHAnsi"/>
          <w:sz w:val="28"/>
          <w:szCs w:val="28"/>
        </w:rPr>
        <w:t xml:space="preserve">исполнительную ЦИМ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;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62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импорт и экспорт данных: ПО поддерживает импорт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 и экспорт данных в форматах IFC, XML, BCF или иных форматах данных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с открытой спецификацией, используемых в соответствии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с требованиями законодательства Российской Федерации [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5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]; 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62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верификация ЦИМ: ПО предоставляет инструменты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для проверки </w:t>
      </w:r>
      <w:r>
        <w:rPr>
          <w:rFonts w:eastAsia="Arial" w:asciiTheme="majorHAnsi" w:hAnsiTheme="majorHAnsi" w:cstheme="majorHAnsi"/>
          <w:sz w:val="28"/>
          <w:szCs w:val="28"/>
        </w:rPr>
        <w:t xml:space="preserve">исполнительной ЦИМ ОКС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 на соответствие проектной документации и нормативным требованиям;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62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валидация ЦИМ: ПО предоставляет инструменты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для проверки соответствия содержания включенных в </w:t>
      </w:r>
      <w:r>
        <w:rPr>
          <w:rFonts w:eastAsia="Arial" w:asciiTheme="majorHAnsi" w:hAnsiTheme="majorHAnsi" w:cstheme="majorHAnsi"/>
          <w:sz w:val="28"/>
          <w:szCs w:val="28"/>
        </w:rPr>
        <w:t xml:space="preserve">исполнительную ЦИМ ОКС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 атрибутивных и геометрических данных определенному набору требований, установленных законодательством Российской Федерации, договором, ТЗ на ЦИМ ОКС.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62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визуализация: отображение объектов в 3D-виде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с возможностью детального масштабирования;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62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843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коллаборация: ПО поддерживает совместную работу нескольких пользователей над одной моделью, включая управление версиями и доступом;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62"/>
        </w:numPr>
        <w:contextualSpacing/>
        <w:ind w:left="0" w:firstLine="850"/>
        <w:jc w:val="both"/>
        <w:spacing w:before="0" w:beforeAutospacing="0" w:after="0" w:afterAutospacing="0" w:line="360" w:lineRule="auto"/>
        <w:tabs>
          <w:tab w:val="left" w:pos="1417" w:leader="none"/>
          <w:tab w:val="left" w:pos="1560" w:leader="none"/>
          <w:tab w:val="left" w:pos="1843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отчетность: ПО предоставляет инструменты для создания отчетов и другой документации, необходимой для </w:t>
      </w:r>
      <w:r>
        <w:rPr>
          <w:rFonts w:eastAsia="Arial" w:asciiTheme="majorHAnsi" w:hAnsiTheme="majorHAnsi" w:cstheme="majorHAnsi"/>
          <w:sz w:val="28"/>
          <w:szCs w:val="28"/>
        </w:rPr>
        <w:t xml:space="preserve">исполнительной </w:t>
      </w:r>
      <w:r>
        <w:rPr>
          <w:rFonts w:eastAsia="Arial" w:asciiTheme="majorHAnsi" w:hAnsiTheme="majorHAnsi" w:cstheme="majorHAnsi"/>
          <w:sz w:val="28"/>
          <w:szCs w:val="28"/>
        </w:rPr>
        <w:br/>
        <w:t xml:space="preserve">ЦИМ ОКС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157"/>
        <w:numPr>
          <w:ilvl w:val="1"/>
          <w:numId w:val="78"/>
        </w:numPr>
        <w:ind w:left="0" w:firstLine="850"/>
        <w:jc w:val="both"/>
        <w:spacing w:line="360" w:lineRule="auto"/>
        <w:rPr>
          <w:rFonts w:eastAsia="Arial" w:asciiTheme="majorHAnsi" w:hAnsiTheme="majorHAnsi" w:cstheme="majorHAns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sz w:val="28"/>
          <w:szCs w:val="28"/>
        </w:rPr>
        <w:t xml:space="preserve"> В случае проведения лазерного сканирования ПО должно поддерживать возможность обрабатывать ТЛО.</w:t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br w:type="page" w:clear="all"/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rPr>
          <w:rFonts w:eastAsia="Arial" w:asciiTheme="majorHAnsi" w:hAnsiTheme="majorHAnsi" w:cstheme="majorHAnsi"/>
          <w:sz w:val="28"/>
          <w:szCs w:val="28"/>
        </w:rPr>
      </w:pP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  <w:r>
        <w:rPr>
          <w:rFonts w:eastAsia="Arial" w:asciiTheme="majorHAnsi" w:hAnsiTheme="majorHAnsi" w:cstheme="majorHAnsi"/>
          <w:sz w:val="28"/>
          <w:szCs w:val="28"/>
        </w:rPr>
      </w:r>
    </w:p>
    <w:p>
      <w:pPr>
        <w:pStyle w:val="1135"/>
        <w:numPr>
          <w:ilvl w:val="0"/>
          <w:numId w:val="0"/>
        </w:numPr>
        <w:contextualSpacing/>
        <w:rPr>
          <w:rStyle w:val="1453"/>
          <w:rFonts w:asciiTheme="majorHAnsi" w:hAnsiTheme="majorHAnsi" w:cstheme="majorHAnsi"/>
          <w:color w:val="auto"/>
          <w:sz w:val="28"/>
        </w:rPr>
      </w:pPr>
      <w:r/>
      <w:bookmarkStart w:id="30" w:name="_Toc223350015"/>
      <w:r>
        <w:rPr>
          <w:rStyle w:val="1453"/>
          <w:rFonts w:asciiTheme="majorHAnsi" w:hAnsiTheme="majorHAnsi" w:cstheme="majorHAnsi"/>
          <w:color w:val="auto"/>
          <w:sz w:val="28"/>
        </w:rPr>
        <w:t xml:space="preserve">Приложение А (справочное)</w:t>
      </w:r>
      <w:r>
        <w:rPr>
          <w:rStyle w:val="1453"/>
          <w:rFonts w:asciiTheme="majorHAnsi" w:hAnsiTheme="majorHAnsi" w:cstheme="majorHAnsi"/>
          <w:color w:val="auto"/>
          <w:sz w:val="28"/>
        </w:rPr>
        <w:br/>
      </w:r>
      <w:r>
        <w:rPr>
          <w:rFonts w:asciiTheme="majorHAnsi" w:hAnsiTheme="majorHAnsi" w:cstheme="majorHAnsi"/>
          <w:bCs/>
          <w:color w:val="000000"/>
          <w:sz w:val="28"/>
          <w:szCs w:val="28"/>
          <w:lang w:eastAsia="ru-RU"/>
        </w:rPr>
        <w:t xml:space="preserve">Рекомендуемая форма</w:t>
      </w:r>
      <w:r>
        <w:rPr>
          <w:rStyle w:val="1453"/>
          <w:rFonts w:asciiTheme="majorHAnsi" w:hAnsiTheme="majorHAnsi" w:cstheme="majorHAnsi"/>
          <w:color w:val="auto"/>
          <w:sz w:val="28"/>
        </w:rPr>
        <w:t xml:space="preserve"> цифровой ведомости объемов работ на этапе строительства</w:t>
      </w:r>
      <w:bookmarkEnd w:id="30"/>
      <w:r>
        <w:rPr>
          <w:rStyle w:val="1453"/>
          <w:rFonts w:asciiTheme="majorHAnsi" w:hAnsiTheme="majorHAnsi" w:cstheme="majorHAnsi"/>
          <w:color w:val="auto"/>
          <w:sz w:val="28"/>
        </w:rPr>
        <w:t xml:space="preserve"> </w:t>
      </w:r>
      <w:r>
        <w:rPr>
          <w:rStyle w:val="1453"/>
          <w:rFonts w:asciiTheme="majorHAnsi" w:hAnsiTheme="majorHAnsi" w:cstheme="majorHAnsi"/>
          <w:color w:val="auto"/>
          <w:sz w:val="28"/>
        </w:rPr>
      </w:r>
      <w:r>
        <w:rPr>
          <w:rStyle w:val="1453"/>
          <w:rFonts w:asciiTheme="majorHAnsi" w:hAnsiTheme="majorHAnsi" w:cstheme="majorHAnsi"/>
          <w:color w:val="auto"/>
          <w:sz w:val="28"/>
        </w:rPr>
      </w:r>
    </w:p>
    <w:p>
      <w:r/>
      <w:r/>
    </w:p>
    <w:p>
      <w:r/>
      <w:r/>
    </w:p>
    <w:p>
      <w:pPr>
        <w:contextualSpacing/>
        <w:ind w:firstLine="709"/>
        <w:jc w:val="center"/>
        <w:spacing w:line="360" w:lineRule="auto"/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  <w:t xml:space="preserve">Рекомендуемая форма цифровой ведомости объемов работ 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  <w:br/>
        <w:t xml:space="preserve">на этапе строительства 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</w:r>
    </w:p>
    <w:tbl>
      <w:tblPr>
        <w:tblW w:w="0" w:type="auto"/>
        <w:tblCellSpacing w:w="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74"/>
        <w:gridCol w:w="1053"/>
        <w:gridCol w:w="709"/>
        <w:gridCol w:w="1134"/>
        <w:gridCol w:w="992"/>
        <w:gridCol w:w="1416"/>
        <w:gridCol w:w="1134"/>
        <w:gridCol w:w="992"/>
        <w:gridCol w:w="850"/>
        <w:gridCol w:w="993"/>
      </w:tblGrid>
      <w:tr>
        <w:tblPrEx/>
        <w:trPr>
          <w:tblCellSpacing w:w="0" w:type="dxa"/>
          <w:trHeight w:val="72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74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sz w:val="18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lang w:eastAsia="ru-RU"/>
              </w:rPr>
              <w:t xml:space="preserve">№</w:t>
            </w:r>
            <w:r>
              <w:rPr>
                <w:rFonts w:asciiTheme="majorHAnsi" w:hAnsiTheme="majorHAnsi" w:cstheme="majorHAnsi"/>
                <w:sz w:val="18"/>
                <w:szCs w:val="24"/>
              </w:rPr>
            </w:r>
            <w:r>
              <w:rPr>
                <w:rFonts w:asciiTheme="majorHAnsi" w:hAnsiTheme="majorHAnsi" w:cstheme="majorHAnsi"/>
                <w:sz w:val="18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05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Наименование работ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Ед. изм.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Объем проектных работ 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Объем строительных работ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41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Формула расчета объемов работ и расхода материалов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Ссылка на чертежи, спецификации в проектной документации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Дополнительная информация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Код вида работ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Ссылка на элементы ЦИМ/ рабочие наборы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 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blCellSpacing w:w="0" w:type="dxa"/>
          <w:trHeight w:val="266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74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sz w:val="18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lang w:eastAsia="ru-RU"/>
              </w:rPr>
              <w:t xml:space="preserve">1</w:t>
            </w:r>
            <w:r>
              <w:rPr>
                <w:rFonts w:asciiTheme="majorHAnsi" w:hAnsiTheme="majorHAnsi" w:cstheme="majorHAnsi"/>
                <w:sz w:val="18"/>
                <w:szCs w:val="24"/>
              </w:rPr>
            </w:r>
            <w:r>
              <w:rPr>
                <w:rFonts w:asciiTheme="majorHAnsi" w:hAnsiTheme="majorHAnsi" w:cstheme="majorHAnsi"/>
                <w:sz w:val="18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05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sz w:val="18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lang w:eastAsia="ru-RU"/>
              </w:rPr>
              <w:t xml:space="preserve">2</w:t>
            </w:r>
            <w:r>
              <w:rPr>
                <w:rFonts w:asciiTheme="majorHAnsi" w:hAnsiTheme="majorHAnsi" w:cstheme="majorHAnsi"/>
                <w:sz w:val="18"/>
                <w:szCs w:val="24"/>
              </w:rPr>
            </w:r>
            <w:r>
              <w:rPr>
                <w:rFonts w:asciiTheme="majorHAnsi" w:hAnsiTheme="majorHAnsi" w:cstheme="majorHAnsi"/>
                <w:sz w:val="18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3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4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5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41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6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7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8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9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36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</w:tr>
      <w:tr>
        <w:tblPrEx/>
        <w:trPr>
          <w:tblCellSpacing w:w="0" w:type="dxa"/>
          <w:trHeight w:val="395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74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05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rPr>
                <w:rFonts w:asciiTheme="majorHAnsi" w:hAnsiTheme="majorHAnsi" w:cstheme="majorHAnsi"/>
                <w:color w:val="ff0000"/>
              </w:rPr>
            </w:pPr>
            <w:r>
              <w:rPr>
                <w:rFonts w:asciiTheme="majorHAnsi" w:hAnsiTheme="majorHAnsi" w:cstheme="majorHAnsi"/>
                <w:color w:val="ff0000"/>
              </w:rPr>
            </w:r>
            <w:r>
              <w:rPr>
                <w:rFonts w:asciiTheme="majorHAnsi" w:hAnsiTheme="majorHAnsi" w:cstheme="majorHAnsi"/>
                <w:color w:val="ff0000"/>
              </w:rPr>
            </w:r>
            <w:r>
              <w:rPr>
                <w:rFonts w:asciiTheme="majorHAnsi" w:hAnsiTheme="majorHAnsi" w:cstheme="majorHAnsi"/>
                <w:color w:val="ff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ff0000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416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lang w:eastAsia="ru-RU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</w:tbl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ab/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1 указывается порядковый номер.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2 указывается наименование работ (затрат, ресурсов).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3 указывается единица измерения для позиции.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ind w:firstLine="709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4 указывается объем проектных работ.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5 указывается объем, реализуемых в процессе строительства.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6 указываются формула расчета объемов работ и расхода строительных ресурсов (материалов).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7 указывается ссылка на чертежи, спецификации в проектной документации.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8 указывается дополнительная информация при необходимости.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9 указывается код вида работ.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ind w:firstLine="709"/>
        <w:jc w:val="both"/>
        <w:spacing w:line="360" w:lineRule="auto"/>
        <w:rPr>
          <w:rStyle w:val="1453"/>
          <w:rFonts w:asciiTheme="majorHAnsi" w:hAnsiTheme="majorHAnsi" w:cstheme="majorHAnsi"/>
          <w:sz w:val="24"/>
          <w:szCs w:val="24"/>
        </w:rPr>
        <w:sectPr>
          <w:footnotePr/>
          <w:endnotePr/>
          <w:type w:val="nextPage"/>
          <w:pgSz w:w="11906" w:h="16838" w:orient="portrait"/>
          <w:pgMar w:top="1276" w:right="992" w:bottom="1134" w:left="1276" w:header="709" w:footer="709" w:gutter="0"/>
          <w:cols w:num="1" w:sep="0" w:space="708" w:equalWidth="1"/>
          <w:docGrid w:linePitch="360"/>
        </w:sect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графе 10 указывается ссылка на элементы ЦИМ или рабочие наборы, с которыми связаны работы.</w:t>
      </w:r>
      <w:r>
        <w:rPr>
          <w:rStyle w:val="1453"/>
          <w:rFonts w:asciiTheme="majorHAnsi" w:hAnsiTheme="majorHAnsi" w:cstheme="majorHAnsi"/>
          <w:sz w:val="24"/>
          <w:szCs w:val="24"/>
        </w:rPr>
      </w:r>
      <w:r>
        <w:rPr>
          <w:rStyle w:val="1453"/>
          <w:rFonts w:asciiTheme="majorHAnsi" w:hAnsiTheme="majorHAnsi" w:cstheme="majorHAnsi"/>
          <w:sz w:val="24"/>
          <w:szCs w:val="24"/>
        </w:rPr>
      </w:r>
    </w:p>
    <w:p>
      <w:pPr>
        <w:pStyle w:val="1135"/>
        <w:numPr>
          <w:ilvl w:val="0"/>
          <w:numId w:val="0"/>
        </w:numPr>
        <w:contextualSpacing/>
        <w:ind w:firstLine="709"/>
        <w:rPr>
          <w:rStyle w:val="1453"/>
          <w:rFonts w:asciiTheme="majorHAnsi" w:hAnsiTheme="majorHAnsi" w:cstheme="majorHAnsi"/>
          <w:color w:val="auto"/>
          <w:sz w:val="28"/>
          <w:szCs w:val="28"/>
        </w:rPr>
      </w:pPr>
      <w:r>
        <w:rPr>
          <w:rStyle w:val="1453"/>
          <w:rFonts w:asciiTheme="majorHAnsi" w:hAnsiTheme="majorHAnsi" w:cstheme="majorHAnsi"/>
          <w:bCs/>
          <w:color w:val="auto"/>
          <w:sz w:val="28"/>
          <w:szCs w:val="28"/>
        </w:rPr>
        <w:t xml:space="preserve"> </w:t>
      </w:r>
      <w:bookmarkStart w:id="31" w:name="_Toc223350016"/>
      <w:r>
        <w:rPr>
          <w:rStyle w:val="1453"/>
          <w:rFonts w:asciiTheme="majorHAnsi" w:hAnsiTheme="majorHAnsi" w:cstheme="majorHAnsi"/>
          <w:bCs/>
          <w:color w:val="auto"/>
          <w:sz w:val="28"/>
          <w:szCs w:val="28"/>
        </w:rPr>
        <w:t xml:space="preserve">Приложение Б (справочное)</w:t>
      </w:r>
      <w:r>
        <w:rPr>
          <w:rStyle w:val="1453"/>
          <w:rFonts w:asciiTheme="majorHAnsi" w:hAnsiTheme="majorHAnsi" w:cstheme="majorHAnsi"/>
          <w:bCs/>
          <w:color w:val="auto"/>
          <w:sz w:val="28"/>
          <w:szCs w:val="28"/>
        </w:rPr>
        <w:br/>
      </w:r>
      <w:r>
        <w:rPr>
          <w:rStyle w:val="1453"/>
          <w:rFonts w:asciiTheme="majorHAnsi" w:hAnsiTheme="majorHAnsi" w:cstheme="majorHAnsi"/>
          <w:color w:val="auto"/>
          <w:sz w:val="28"/>
        </w:rPr>
        <w:t xml:space="preserve">Пример календарно-сетевого графи</w:t>
      </w:r>
      <w:r>
        <w:rPr>
          <w:rStyle w:val="1453"/>
          <w:rFonts w:asciiTheme="majorHAnsi" w:hAnsiTheme="majorHAnsi" w:cstheme="majorHAnsi"/>
          <w:color w:val="auto"/>
          <w:sz w:val="28"/>
          <w:szCs w:val="28"/>
        </w:rPr>
        <w:t xml:space="preserve">ка на основе ЦИМ ОКС</w:t>
      </w:r>
      <w:bookmarkEnd w:id="31"/>
      <w:r>
        <w:rPr>
          <w:rStyle w:val="1453"/>
          <w:rFonts w:asciiTheme="majorHAnsi" w:hAnsiTheme="majorHAnsi" w:cstheme="majorHAnsi"/>
          <w:color w:val="auto"/>
          <w:sz w:val="28"/>
          <w:szCs w:val="28"/>
        </w:rPr>
      </w:r>
      <w:r>
        <w:rPr>
          <w:rStyle w:val="1453"/>
          <w:rFonts w:asciiTheme="majorHAnsi" w:hAnsiTheme="majorHAnsi" w:cstheme="majorHAnsi"/>
          <w:color w:val="auto"/>
          <w:sz w:val="28"/>
          <w:szCs w:val="28"/>
        </w:rPr>
      </w:r>
    </w:p>
    <w:p>
      <w:pPr>
        <w:contextualSpacing/>
        <w:ind w:firstLine="709"/>
        <w:jc w:val="both"/>
        <w:rPr>
          <w:rStyle w:val="1476"/>
          <w:rFonts w:eastAsia="Arial"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eastAsia="Arial"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76"/>
          <w:rFonts w:eastAsia="Arial"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76"/>
          <w:rFonts w:eastAsia="Arial"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center"/>
        <w:rPr>
          <w:rStyle w:val="1453"/>
          <w:rFonts w:asciiTheme="majorHAnsi" w:hAnsiTheme="majorHAnsi" w:cstheme="majorHAnsi"/>
          <w:b/>
          <w:bCs/>
          <w:sz w:val="28"/>
          <w:szCs w:val="28"/>
        </w:rPr>
      </w:pPr>
      <w:r>
        <w:rPr>
          <w:rStyle w:val="1453"/>
          <w:rFonts w:asciiTheme="majorHAnsi" w:hAnsiTheme="majorHAnsi" w:cstheme="majorHAnsi"/>
          <w:b/>
          <w:bCs/>
          <w:sz w:val="28"/>
          <w:szCs w:val="28"/>
        </w:rPr>
        <w:t xml:space="preserve">Б.1 Пример календарно-сетевого графика, выгруженного на основе ЦИМ ОКС </w:t>
      </w:r>
      <w:r>
        <w:rPr>
          <w:rStyle w:val="1453"/>
          <w:rFonts w:asciiTheme="majorHAnsi" w:hAnsiTheme="majorHAnsi" w:cstheme="majorHAnsi"/>
          <w:b/>
          <w:bCs/>
          <w:sz w:val="28"/>
          <w:szCs w:val="28"/>
        </w:rPr>
      </w:r>
      <w:r>
        <w:rPr>
          <w:rStyle w:val="1453"/>
          <w:rFonts w:asciiTheme="majorHAnsi" w:hAnsiTheme="majorHAnsi" w:cstheme="majorHAnsi"/>
          <w:b/>
          <w:bCs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highlight w:val="yellow"/>
        </w:rPr>
      </w:pPr>
      <w:r>
        <w:rPr>
          <w:rFonts w:asciiTheme="majorHAnsi" w:hAnsiTheme="majorHAnsi" w:cstheme="majorHAnsi"/>
          <w:highlight w:val="yellow"/>
        </w:rPr>
      </w:r>
      <w:r>
        <w:rPr>
          <w:rFonts w:asciiTheme="majorHAnsi" w:hAnsiTheme="majorHAnsi" w:cstheme="majorHAnsi"/>
          <w:highlight w:val="yellow"/>
        </w:rPr>
      </w:r>
      <w:r>
        <w:rPr>
          <w:rFonts w:asciiTheme="majorHAnsi" w:hAnsiTheme="majorHAnsi" w:cstheme="majorHAnsi"/>
          <w:highlight w:val="yellow"/>
        </w:rPr>
      </w:r>
    </w:p>
    <w:tbl>
      <w:tblPr>
        <w:tblStyle w:val="1172"/>
        <w:tblW w:w="14742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2986"/>
        <w:gridCol w:w="1276"/>
        <w:gridCol w:w="1276"/>
        <w:gridCol w:w="1558"/>
        <w:gridCol w:w="1277"/>
        <w:gridCol w:w="1276"/>
        <w:gridCol w:w="1699"/>
        <w:gridCol w:w="994"/>
        <w:gridCol w:w="1134"/>
      </w:tblGrid>
      <w:tr>
        <w:tblPrEx/>
        <w:trPr>
          <w:trHeight w:val="480"/>
        </w:trPr>
        <w:tc>
          <w:tcPr>
            <w:shd w:val="clear" w:color="dfe3e8" w:fill="dfe3e8"/>
            <w:tcBorders>
              <w:top w:val="single" w:color="B1BBCC" w:sz="8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СДР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dfe3e8" w:fill="dfe3e8"/>
            <w:tcBorders>
              <w:top w:val="single" w:color="B1BBCC" w:sz="8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Название задачи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dfe3e8" w:fill="dfe3e8"/>
            <w:tcBorders>
              <w:top w:val="single" w:color="B1BBCC" w:sz="8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Базовое начало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dfe3e8" w:fill="dfe3e8"/>
            <w:tcBorders>
              <w:top w:val="single" w:color="B1BBCC" w:sz="8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Базовое окончание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dfe3e8" w:fill="dfe3e8"/>
            <w:tcBorders>
              <w:top w:val="single" w:color="B1BBCC" w:sz="8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Базовая длительность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dfe3e8" w:fill="dfe3e8"/>
            <w:tcBorders>
              <w:top w:val="single" w:color="B1BBCC" w:sz="8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Начало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dfe3e8" w:fill="dfe3e8"/>
            <w:tcBorders>
              <w:top w:val="single" w:color="B1BBCC" w:sz="8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Окончание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dfe3e8" w:fill="dfe3e8"/>
            <w:tcBorders>
              <w:top w:val="single" w:color="B1BBCC" w:sz="8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Длительность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dfe3e8" w:fill="dfe3e8"/>
            <w:tcBorders>
              <w:top w:val="single" w:color="B1BBCC" w:sz="8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Базовые затраты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dfe3e8" w:fill="dfe3e8"/>
            <w:tcBorders>
              <w:top w:val="single" w:color="B1BBCC" w:sz="8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363636"/>
                <w:sz w:val="18"/>
              </w:rPr>
              <w:t xml:space="preserve">Затраты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9cc3e5" w:fill="9cc3e5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9cc3e5" w:fill="9cc3e5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Строительство жилого дома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9cc3e5" w:fill="9cc3e5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14.05.2024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9cc3e5" w:fill="9cc3e5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21.08.2024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9cc3e5" w:fill="9cc3e5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465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9cc3e5" w:fill="9cc3e5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14.05.2024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9cc3e5" w:fill="9cc3e5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21.08.2025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9cc3e5" w:fill="9cc3e5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465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9cc3e5" w:fill="9cc3e5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9cc3e5" w:fill="9cc3e5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13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1.1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 Подготовительный период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14.05.2024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12.08.2024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91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14.05.2024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12.08.2024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91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75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1.2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 Работы нулевого цикла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12.08.2024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166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12.08.2024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24.01.2024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166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1.3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Установка крана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11.10.2024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09.11.2024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30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11.10.2024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09.11.2024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30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1.4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 Работы надземной части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04.01.2024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21.08.2025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230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04.01.2025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21.08.2025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230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1.4.1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Возведение каркаса здания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04.01.2024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12.06.2025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160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04.01.2025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12.06.2025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160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1.4.1.1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Этаж 1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04.01.2025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13.01.2025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04.01.2025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13.01.2025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1.4.1.1.1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Армирование стен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07.01.2025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07.01.2025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1.4.1.1.2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Бетонирование стен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06.01.2025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06.01.2025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1.4.1.1.3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Армирование пилонов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07.01.2025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07.01.2025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1.4.1.1.4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 Бетонирование пилонов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06.01.2025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06.01.2025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1.4.1.1.5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Армирование плиты перекрытия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08.01.2025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11.01.2025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08.01.2025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11.01.2025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1.4.1.1.6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Бетонирование плиты перекрытия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10.01.2025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13.01.2025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10.01.2025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13.01.2025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1.4.1.1.7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Армирование парапетов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08.01.2025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08.01.2025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09.01.2025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1.4.1.1.8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Бетонироване</w:t>
            </w: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 парапетов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10.01.2025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11.01.2025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10.01.2025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11.01.2025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1.4.1.2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Этаж 2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12.01.2025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21.01.2025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12.01.2025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21.01.2025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10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1.4.1.2.1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Армирование стен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12.01.2025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15.01.2025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12.01.2025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15.01.2025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1.4.1.2.2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Армирование пилонов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12.01.2025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15.01.2025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12.01.2025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15.01.2025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1.4.1.2.3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Бетонирование вертикальных конструкций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17.01.2025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14.01.2025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17.01.2025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1.4.1.2.4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Армирование плиты перекрытия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16.01.2025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16.01.2025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1.4.1.2.5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Бетонирование плиты перекрытия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18.01.2025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21.01.2025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18.01.2025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21.01.2025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4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1.4.1.2.6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Армирование балок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16.01.2025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17.01.2025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16.01.2025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17.01.2025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B1BBCC" w:sz="8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1.4.1.2.7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986" w:type="dxa"/>
            <w:vAlign w:val="center"/>
            <w:textDirection w:val="lrTb"/>
            <w:noWrap w:val="false"/>
          </w:tcPr>
          <w:p>
            <w:pPr>
              <w:contextualSpacing/>
              <w:ind w:right="-30"/>
              <w:tabs>
                <w:tab w:val="left" w:pos="2835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Бетонирование балок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18.01.2025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5" w:right="57" w:hanging="55"/>
              <w:tabs>
                <w:tab w:val="left" w:pos="14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tabs>
                <w:tab w:val="left" w:pos="992" w:leader="none"/>
              </w:tabs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18.01.2025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19.01.2025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699" w:type="dxa"/>
            <w:vAlign w:val="center"/>
            <w:textDirection w:val="lrTb"/>
            <w:noWrap w:val="false"/>
          </w:tcPr>
          <w:p>
            <w:pPr>
              <w:contextualSpacing/>
              <w:ind w:left="57" w:right="338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2 дней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99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B1BBCC" w:sz="8" w:space="0"/>
              <w:right w:val="single" w:color="B1BBCC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ind w:left="57" w:right="57" w:firstLine="709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contextualSpacing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Style w:val="1453"/>
          <w:rFonts w:asciiTheme="majorHAnsi" w:hAnsiTheme="majorHAnsi" w:cstheme="majorHAnsi"/>
          <w:b/>
          <w:bCs/>
          <w:sz w:val="28"/>
          <w:szCs w:val="28"/>
        </w:rPr>
      </w:pPr>
      <w:r>
        <w:rPr>
          <w:rStyle w:val="1453"/>
          <w:rFonts w:asciiTheme="majorHAnsi" w:hAnsiTheme="majorHAnsi" w:cstheme="majorHAnsi"/>
          <w:b/>
          <w:bCs/>
          <w:sz w:val="28"/>
          <w:szCs w:val="28"/>
        </w:rPr>
        <w:t xml:space="preserve">Б.2 Пример отображения КСГ, разработанного на основе ЦИМ ОКС, в информационной системе </w:t>
      </w:r>
      <w:r>
        <w:rPr>
          <w:rStyle w:val="1453"/>
          <w:rFonts w:asciiTheme="majorHAnsi" w:hAnsiTheme="majorHAnsi" w:cstheme="majorHAnsi"/>
          <w:b/>
          <w:bCs/>
          <w:sz w:val="28"/>
          <w:szCs w:val="28"/>
        </w:rPr>
      </w:r>
      <w:r>
        <w:rPr>
          <w:rStyle w:val="1453"/>
          <w:rFonts w:asciiTheme="majorHAnsi" w:hAnsiTheme="majorHAnsi" w:cstheme="majorHAnsi"/>
          <w:b/>
          <w:bCs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913216" behindDoc="0" locked="0" layoutInCell="1" allowOverlap="1">
                <wp:simplePos x="0" y="0"/>
                <wp:positionH relativeFrom="column">
                  <wp:posOffset>113775</wp:posOffset>
                </wp:positionH>
                <wp:positionV relativeFrom="paragraph">
                  <wp:posOffset>182383</wp:posOffset>
                </wp:positionV>
                <wp:extent cx="9282430" cy="4495165"/>
                <wp:effectExtent l="0" t="0" r="0" b="635"/>
                <wp:wrapSquare wrapText="bothSides"/>
                <wp:docPr id="14" name="Рисунок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318999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9282430" cy="4495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position:absolute;z-index:251913216;o:allowoverlap:true;o:allowincell:true;mso-position-horizontal-relative:text;margin-left:8.96pt;mso-position-horizontal:absolute;mso-position-vertical-relative:text;margin-top:14.36pt;mso-position-vertical:absolute;width:730.90pt;height:353.95pt;mso-wrap-distance-left:9.07pt;mso-wrap-distance-top:0.00pt;mso-wrap-distance-right:9.07pt;mso-wrap-distance-bottom:0.00pt;" stroked="false">
                <v:path textboxrect="0,0,0,0"/>
                <w10:wrap type="square"/>
                <v:imagedata r:id="rId43" o:title=""/>
              </v:shape>
            </w:pict>
          </mc:Fallback>
        </mc:AlternateConten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276" w:right="1276" w:bottom="992" w:left="1134" w:header="709" w:footer="709" w:gutter="0"/>
          <w:cols w:num="1" w:sep="0" w:space="708" w:equalWidth="1"/>
          <w:docGrid w:linePitch="360"/>
        </w:sect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pStyle w:val="1135"/>
        <w:numPr>
          <w:ilvl w:val="0"/>
          <w:numId w:val="0"/>
        </w:numPr>
        <w:contextualSpacing/>
        <w:spacing w:after="240"/>
        <w:rPr>
          <w:rStyle w:val="1453"/>
          <w:rFonts w:asciiTheme="majorHAnsi" w:hAnsiTheme="majorHAnsi" w:cstheme="majorHAnsi"/>
          <w:b w:val="0"/>
          <w:color w:val="000000"/>
          <w:sz w:val="28"/>
          <w:szCs w:val="28"/>
        </w:rPr>
      </w:pPr>
      <w:r/>
      <w:bookmarkStart w:id="32" w:name="_Toc223350017"/>
      <w:r>
        <w:rPr>
          <w:rStyle w:val="1453"/>
          <w:rFonts w:asciiTheme="majorHAnsi" w:hAnsiTheme="majorHAnsi" w:cstheme="majorHAnsi"/>
          <w:bCs/>
          <w:color w:val="000000"/>
          <w:sz w:val="28"/>
          <w:szCs w:val="28"/>
        </w:rPr>
        <w:t xml:space="preserve">Приложение В (справочное)</w:t>
      </w:r>
      <w:r>
        <w:rPr>
          <w:rStyle w:val="1453"/>
          <w:rFonts w:asciiTheme="majorHAnsi" w:hAnsiTheme="majorHAnsi" w:cstheme="majorHAnsi"/>
          <w:bCs/>
          <w:color w:val="000000"/>
          <w:sz w:val="28"/>
          <w:szCs w:val="28"/>
        </w:rPr>
        <w:br/>
        <w:t xml:space="preserve">Минимальный набор отчетной документации по итогам проведения лазерного сканирования</w:t>
      </w:r>
      <w:bookmarkEnd w:id="32"/>
      <w:r>
        <w:rPr>
          <w:rStyle w:val="1453"/>
          <w:rFonts w:asciiTheme="majorHAnsi" w:hAnsiTheme="majorHAnsi" w:cstheme="majorHAnsi"/>
          <w:b w:val="0"/>
          <w:color w:val="000000"/>
          <w:sz w:val="28"/>
          <w:szCs w:val="28"/>
        </w:rPr>
      </w:r>
      <w:r>
        <w:rPr>
          <w:rStyle w:val="1453"/>
          <w:rFonts w:asciiTheme="majorHAnsi" w:hAnsiTheme="majorHAnsi" w:cstheme="majorHAnsi"/>
          <w:b w:val="0"/>
          <w:color w:val="000000"/>
          <w:sz w:val="28"/>
          <w:szCs w:val="28"/>
        </w:rPr>
      </w:r>
    </w:p>
    <w:p>
      <w:pPr>
        <w:contextualSpacing/>
        <w:ind w:firstLine="709"/>
        <w:jc w:val="center"/>
        <w:tabs>
          <w:tab w:val="left" w:pos="1789" w:leader="none"/>
        </w:tabs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  <w:br/>
        <w:t xml:space="preserve">В.1 </w:t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Информация о проекте (форма)</w:t>
      </w:r>
      <w:r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0"/>
          <w:numId w:val="9"/>
        </w:numPr>
        <w:contextualSpacing/>
        <w:ind w:left="0" w:firstLine="709"/>
        <w:jc w:val="both"/>
        <w:spacing w:before="0" w:beforeAutospacing="0" w:after="160" w:afterAutospacing="0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 xml:space="preserve">Информация о проекте </w:t>
      </w:r>
      <w:r>
        <w:rPr>
          <w:rFonts w:asciiTheme="majorHAnsi" w:hAnsiTheme="majorHAnsi" w:cstheme="majorHAnsi"/>
          <w:b/>
          <w:sz w:val="28"/>
        </w:rPr>
      </w:r>
      <w:r>
        <w:rPr>
          <w:rFonts w:asciiTheme="majorHAnsi" w:hAnsiTheme="majorHAnsi" w:cstheme="majorHAnsi"/>
          <w:b/>
          <w:sz w:val="28"/>
        </w:rPr>
      </w:r>
    </w:p>
    <w:p>
      <w:pPr>
        <w:pStyle w:val="1329"/>
        <w:numPr>
          <w:ilvl w:val="1"/>
          <w:numId w:val="9"/>
        </w:numPr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  Проект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  <w:u w:val="single"/>
        </w:rPr>
        <w:t xml:space="preserve">Номер договора: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 </w:t>
      </w:r>
      <w:r>
        <w:rPr>
          <w:rFonts w:asciiTheme="majorHAnsi" w:hAnsiTheme="majorHAnsi" w:cstheme="majorHAnsi"/>
          <w:i/>
          <w:iCs/>
          <w:color w:val="000000"/>
          <w:sz w:val="28"/>
          <w:szCs w:val="28"/>
        </w:rPr>
        <w:t xml:space="preserve">Укажите номер договора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  <w:u w:val="single"/>
        </w:rPr>
        <w:t xml:space="preserve">Полное название объекта ОКС:</w:t>
      </w:r>
      <w:r>
        <w:rPr>
          <w:rFonts w:asciiTheme="majorHAnsi" w:hAnsiTheme="majorHAnsi" w:cstheme="majorHAnsi"/>
          <w:i/>
          <w:iCs/>
          <w:color w:val="000000"/>
          <w:sz w:val="28"/>
          <w:szCs w:val="28"/>
        </w:rPr>
        <w:t xml:space="preserve"> Укажите полное наименование объекта ОКС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  <w:u w:val="single"/>
        </w:rPr>
        <w:t xml:space="preserve">Расположения объекта:</w:t>
      </w:r>
      <w:r>
        <w:rPr>
          <w:rFonts w:asciiTheme="majorHAnsi" w:hAnsiTheme="majorHAnsi" w:cstheme="majorHAnsi"/>
          <w:i/>
          <w:iCs/>
          <w:color w:val="000000"/>
          <w:sz w:val="28"/>
          <w:szCs w:val="28"/>
        </w:rPr>
        <w:t xml:space="preserve"> Укажите расположение объекта ОКС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  <w:u w:val="single"/>
        </w:rPr>
        <w:t xml:space="preserve">Цели применения ТИМ: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 </w:t>
      </w:r>
      <w:r>
        <w:rPr>
          <w:rFonts w:asciiTheme="majorHAnsi" w:hAnsiTheme="majorHAnsi" w:cstheme="majorHAnsi"/>
          <w:i/>
          <w:iCs/>
          <w:color w:val="000000"/>
          <w:sz w:val="28"/>
          <w:szCs w:val="28"/>
        </w:rPr>
        <w:t xml:space="preserve">Укажите цели применения ТИМ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  <w:u w:val="single"/>
        </w:rPr>
        <w:t xml:space="preserve">Задачи применения ТИМ: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 </w:t>
      </w:r>
      <w:r>
        <w:rPr>
          <w:rFonts w:asciiTheme="majorHAnsi" w:hAnsiTheme="majorHAnsi" w:cstheme="majorHAnsi"/>
          <w:i/>
          <w:iCs/>
          <w:color w:val="000000"/>
          <w:sz w:val="28"/>
          <w:szCs w:val="28"/>
        </w:rPr>
        <w:t xml:space="preserve">Укажите задачи применения ТИМ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  <w:u w:val="single"/>
        </w:rPr>
        <w:t xml:space="preserve">Кратное описание проекта: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 </w:t>
      </w:r>
      <w:r>
        <w:rPr>
          <w:rFonts w:asciiTheme="majorHAnsi" w:hAnsiTheme="majorHAnsi" w:cstheme="majorHAnsi"/>
          <w:i/>
          <w:iCs/>
          <w:color w:val="000000"/>
          <w:sz w:val="28"/>
          <w:szCs w:val="28"/>
        </w:rPr>
        <w:t xml:space="preserve">Укажите краткое описание проекта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1"/>
          <w:numId w:val="9"/>
        </w:numPr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  Заказчик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969"/>
        <w:gridCol w:w="5669"/>
      </w:tblGrid>
      <w:tr>
        <w:tblPrEx/>
        <w:trPr>
          <w:tblCellSpacing w:w="0" w:type="dxa"/>
        </w:trPr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left="142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полное название организации Заказчика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W w:w="5669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Место нахождения: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место нахождение организации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Почтовый адрес: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почтовый адрес организации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Адрес электронной почты Заказчика: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адрес электронной почты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Номер контактного телефона: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номер контактного телефона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Контактное лицо: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контактное лицо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pStyle w:val="1329"/>
        <w:numPr>
          <w:ilvl w:val="1"/>
          <w:numId w:val="9"/>
        </w:numPr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  Исполнитель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969"/>
        <w:gridCol w:w="5669"/>
      </w:tblGrid>
      <w:tr>
        <w:tblPrEx/>
        <w:trPr>
          <w:tblCellSpacing w:w="0" w:type="dxa"/>
        </w:trPr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left="142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полное название организации Исполнителя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W w:w="5669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Место нахождения: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место нахождение организации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Почтовый адрес: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почтовый адрес организации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Адрес электронной почты Заказчика: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адрес электронной почты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Номер контактного телефона: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номер контактного телефона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u w:val="single"/>
              </w:rPr>
              <w:t xml:space="preserve">Контактное лицо: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Укажите контактное лицо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pStyle w:val="1329"/>
        <w:contextualSpacing/>
        <w:ind w:firstLine="709"/>
        <w:jc w:val="both"/>
        <w:spacing w:before="0" w:beforeAutospacing="0" w:after="160" w:afterAutospacing="0"/>
        <w:tabs>
          <w:tab w:val="num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tabs>
          <w:tab w:val="num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tabs>
          <w:tab w:val="num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0"/>
          <w:numId w:val="9"/>
        </w:numPr>
        <w:contextualSpacing/>
        <w:ind w:left="0" w:firstLine="709"/>
        <w:jc w:val="both"/>
        <w:spacing w:before="0" w:beforeAutospacing="0" w:after="160" w:afterAutospacing="0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 xml:space="preserve"> </w:t>
      </w:r>
      <w:bookmarkStart w:id="33" w:name="undefined"/>
      <w:r/>
      <w:bookmarkEnd w:id="33"/>
      <w:r>
        <w:rPr>
          <w:rFonts w:asciiTheme="majorHAnsi" w:hAnsiTheme="majorHAnsi" w:cstheme="majorHAnsi"/>
          <w:b/>
          <w:sz w:val="28"/>
        </w:rPr>
        <w:t xml:space="preserve">Ответственные лица</w:t>
      </w:r>
      <w:r>
        <w:rPr>
          <w:rFonts w:asciiTheme="majorHAnsi" w:hAnsiTheme="majorHAnsi" w:cstheme="majorHAnsi"/>
          <w:b/>
          <w:sz w:val="28"/>
        </w:rPr>
      </w:r>
      <w:r>
        <w:rPr>
          <w:rFonts w:asciiTheme="majorHAnsi" w:hAnsiTheme="majorHAnsi" w:cstheme="majorHAnsi"/>
          <w:b/>
          <w:sz w:val="28"/>
        </w:rPr>
      </w:r>
    </w:p>
    <w:p>
      <w:pPr>
        <w:pStyle w:val="1329"/>
        <w:contextualSpacing/>
        <w:jc w:val="both"/>
        <w:spacing w:before="0" w:beforeAutospacing="0" w:after="160" w:afterAutospacing="0"/>
        <w:tabs>
          <w:tab w:val="num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Таблица 2 — Ответственные лица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W w:w="0" w:type="auto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701"/>
        <w:gridCol w:w="2268"/>
        <w:gridCol w:w="1805"/>
        <w:gridCol w:w="1679"/>
      </w:tblGrid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Должность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Наименование организации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Контактное лицо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Телефон/E-mail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Исполнитель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Заказчик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pStyle w:val="1329"/>
        <w:contextualSpacing/>
        <w:ind w:left="851" w:firstLine="709"/>
        <w:jc w:val="both"/>
        <w:spacing w:before="0" w:beforeAutospacing="0" w:after="160" w:afterAutospacing="0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</w:r>
      <w:r>
        <w:rPr>
          <w:rFonts w:asciiTheme="majorHAnsi" w:hAnsiTheme="majorHAnsi" w:cstheme="majorHAnsi"/>
          <w:b/>
          <w:sz w:val="28"/>
        </w:rPr>
      </w:r>
      <w:r>
        <w:rPr>
          <w:rFonts w:asciiTheme="majorHAnsi" w:hAnsiTheme="majorHAnsi" w:cstheme="majorHAnsi"/>
          <w:b/>
          <w:sz w:val="28"/>
        </w:rPr>
      </w:r>
    </w:p>
    <w:p>
      <w:pPr>
        <w:pStyle w:val="1329"/>
        <w:numPr>
          <w:ilvl w:val="0"/>
          <w:numId w:val="9"/>
        </w:numPr>
        <w:contextualSpacing/>
        <w:ind w:left="0" w:firstLine="709"/>
        <w:jc w:val="both"/>
        <w:spacing w:before="0" w:beforeAutospacing="0" w:after="160" w:afterAutospacing="0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 xml:space="preserve">Технические характеристики используемого оборудования</w:t>
      </w:r>
      <w:r>
        <w:rPr>
          <w:rFonts w:asciiTheme="majorHAnsi" w:hAnsiTheme="majorHAnsi" w:cstheme="majorHAnsi"/>
          <w:b/>
          <w:sz w:val="28"/>
        </w:rPr>
      </w:r>
      <w:r>
        <w:rPr>
          <w:rFonts w:asciiTheme="majorHAnsi" w:hAnsiTheme="majorHAnsi" w:cstheme="majorHAnsi"/>
          <w:b/>
          <w:sz w:val="28"/>
        </w:rPr>
      </w:r>
    </w:p>
    <w:p>
      <w:pPr>
        <w:pStyle w:val="1329"/>
        <w:contextualSpacing/>
        <w:ind w:firstLine="709"/>
        <w:jc w:val="both"/>
        <w:spacing w:before="0" w:beforeAutospacing="0" w:after="85" w:afterAutospacing="0"/>
        <w:tabs>
          <w:tab w:val="num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Cs/>
          <w:color w:val="000000"/>
          <w:sz w:val="28"/>
          <w:szCs w:val="28"/>
        </w:rPr>
        <w:t xml:space="preserve">Впишите данные из технического паспорта на используемые приборы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/>
        <w:tabs>
          <w:tab w:val="num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/>
        <w:tabs>
          <w:tab w:val="num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Таблица 3 — Пример оформления данных из технического паспорта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tabs>
          <w:tab w:val="num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W w:w="0" w:type="auto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680"/>
      </w:tblGrid>
      <w:tr>
        <w:tblPrEx/>
        <w:trPr>
          <w:tblCellSpacing w:w="0" w:type="dxa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Марка сканера</w: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</w:p>
        </w:tc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</w:p>
          <w:p>
            <w:pPr>
              <w:pStyle w:val="1329"/>
              <w:contextualSpacing/>
              <w:ind w:firstLine="709"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gridSpan w:val="2"/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Общие сведения</w: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</w:p>
        </w:tc>
      </w:tr>
      <w:tr>
        <w:tblPrEx/>
        <w:trPr>
          <w:tblCellSpacing w:w="0" w:type="dxa"/>
          <w:trHeight w:val="4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Принцип сканирования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Принцип измерения дальности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Скорость сканирования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Максимальная дальность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5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Шум дальномера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gridSpan w:val="2"/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Измерение расстояний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Класс лазера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Длина волны лазера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Диаметр пучка лазерного луча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Минимальное расстояние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Максимальная стандартная дальность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Повышенная дальность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Шум дальномера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Систематическая ошибка дальномера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46"/>
        </w:trPr>
        <w:tc>
          <w:tcPr>
            <w:gridSpan w:val="2"/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Сканирование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Поле зрения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Угловая точность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Размеры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Вес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Зарядное устройство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Вес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Размеры аккумулятора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Вес аккумулятора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Потребляемая мощность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Время сканирования с одной батареей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Транспортировочный ящик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gridSpan w:val="2"/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center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Условия эксплуатации</w: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Диапазон рабочих температур (без конденсации влаги)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Температура хранения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Относительная влажность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Освещенность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Класс защиты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tabs>
                <w:tab w:val="num" w:pos="720" w:leader="none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</w:r>
      <w:r>
        <w:rPr>
          <w:rFonts w:asciiTheme="majorHAnsi" w:hAnsiTheme="majorHAnsi" w:cstheme="majorHAnsi"/>
          <w:b/>
          <w:bCs/>
          <w:sz w:val="28"/>
          <w:szCs w:val="28"/>
        </w:rPr>
      </w:r>
      <w:r>
        <w:rPr>
          <w:rFonts w:asciiTheme="majorHAnsi" w:hAnsiTheme="majorHAnsi" w:cstheme="majorHAnsi"/>
          <w:b/>
          <w:bCs/>
          <w:sz w:val="28"/>
          <w:szCs w:val="28"/>
        </w:rPr>
      </w:r>
    </w:p>
    <w:p>
      <w:pPr>
        <w:pStyle w:val="1329"/>
        <w:numPr>
          <w:ilvl w:val="0"/>
          <w:numId w:val="9"/>
        </w:numPr>
        <w:contextualSpacing/>
        <w:ind w:left="0" w:firstLine="709"/>
        <w:jc w:val="both"/>
        <w:spacing w:before="0" w:beforeAutospacing="0" w:after="160" w:afterAutospacing="0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 xml:space="preserve">Сертификаты на используемое оборудование</w:t>
      </w:r>
      <w:r>
        <w:rPr>
          <w:rFonts w:asciiTheme="majorHAnsi" w:hAnsiTheme="majorHAnsi" w:cstheme="majorHAnsi"/>
          <w:b/>
          <w:sz w:val="28"/>
        </w:rPr>
      </w:r>
      <w:r>
        <w:rPr>
          <w:rFonts w:asciiTheme="majorHAnsi" w:hAnsiTheme="majorHAnsi" w:cstheme="majorHAnsi"/>
          <w:b/>
          <w:sz w:val="28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tabs>
          <w:tab w:val="num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Cs/>
          <w:color w:val="000000"/>
          <w:sz w:val="28"/>
          <w:szCs w:val="28"/>
        </w:rPr>
        <w:t xml:space="preserve">Приложите сканы сертификатов соответствия на используемое оборудование, а также свидетельства о поверке оборудования.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  <w:br w:type="page" w:clear="all"/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center"/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В. 2 </w:t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Отчет о результатах лазерного сканирования ОКС</w:t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</w:rPr>
        <w:t xml:space="preserve"> 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273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Примечание: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273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Данный отчет заполняется исполнителем, проводившим наземное лазерное сканирование объекта.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273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Исходные данные: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Цели проведения лазерного сканирования_____________________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Описание объекта сканирования_____________________________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__________________________________________________________________________________________________________________________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Результаты проведения лазерного сканирования________________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__________________________________________________________________________________________________________________________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Описание проделанных действий при обработке ТЛО___</w:t>
      </w:r>
      <w:r>
        <w:rPr>
          <w:rFonts w:asciiTheme="majorHAnsi" w:hAnsiTheme="majorHAnsi" w:cstheme="majorHAnsi"/>
        </w:rPr>
        <w:t xml:space="preserve">__________</w:t>
      </w:r>
      <w:r>
        <w:rPr>
          <w:rFonts w:asciiTheme="majorHAnsi" w:hAnsiTheme="majorHAnsi" w:cstheme="majorHAnsi"/>
        </w:rPr>
        <w:br/>
        <w:t xml:space="preserve">________________________________________________________________________________________________________________________________________________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Марка и серия сканера_____________________________________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Формат проприетарного формата файлов ТЛО _________________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_____________________________________________________________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В какой системе координат выставлено ТЛО 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Формат переданных файлов ТЛО_____________________________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Монохромность ТЛО________________________________________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Наименование файлов ТЛО_________________________________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             дата</w:t>
      </w:r>
      <w:r>
        <w:rPr>
          <w:rFonts w:asciiTheme="majorHAnsi" w:hAnsiTheme="majorHAnsi" w:cstheme="majorHAnsi"/>
          <w:color w:val="000000"/>
          <w:sz w:val="28"/>
          <w:szCs w:val="28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</w:rPr>
        <w:tab/>
        <w:t xml:space="preserve">                   подпись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ind w:left="6372"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16"/>
          <w:szCs w:val="16"/>
        </w:rPr>
      </w:pPr>
      <w:r>
        <w:rPr>
          <w:rFonts w:asciiTheme="majorHAnsi" w:hAnsiTheme="majorHAnsi" w:cstheme="majorHAnsi"/>
          <w:color w:val="000000"/>
          <w:sz w:val="16"/>
          <w:szCs w:val="16"/>
        </w:rPr>
        <w:t xml:space="preserve">(ответственного лица Исполнителя)</w:t>
      </w:r>
      <w:r>
        <w:rPr>
          <w:rFonts w:asciiTheme="majorHAnsi" w:hAnsiTheme="majorHAnsi" w:cstheme="majorHAnsi"/>
          <w:color w:val="000000"/>
          <w:sz w:val="16"/>
          <w:szCs w:val="16"/>
        </w:rPr>
      </w:r>
      <w:r>
        <w:rPr>
          <w:rFonts w:asciiTheme="majorHAnsi" w:hAnsiTheme="majorHAnsi" w:cstheme="majorHAnsi"/>
          <w:color w:val="000000"/>
          <w:sz w:val="16"/>
          <w:szCs w:val="16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________________________                                               ________________________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 w:line="12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157"/>
        <w:numPr>
          <w:ilvl w:val="0"/>
          <w:numId w:val="13"/>
        </w:numPr>
        <w:ind w:firstLine="709"/>
        <w:jc w:val="both"/>
        <w:spacing w:before="240" w:after="200" w:line="276" w:lineRule="auto"/>
        <w:tabs>
          <w:tab w:val="left" w:pos="993" w:leader="none"/>
        </w:tabs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color w:val="000000"/>
          <w:sz w:val="28"/>
          <w:szCs w:val="28"/>
        </w:rPr>
        <w:t xml:space="preserve">График сканирования</w:t>
      </w:r>
      <w:r>
        <w:rPr>
          <w:rFonts w:asciiTheme="majorHAnsi" w:hAnsiTheme="majorHAnsi" w:cstheme="majorHAnsi"/>
          <w:b/>
        </w:rPr>
      </w:r>
      <w:r>
        <w:rPr>
          <w:rFonts w:asciiTheme="majorHAnsi" w:hAnsiTheme="majorHAnsi" w:cstheme="majorHAnsi"/>
          <w:b/>
        </w:rPr>
      </w:r>
    </w:p>
    <w:p>
      <w:pPr>
        <w:pStyle w:val="1329"/>
        <w:contextualSpacing/>
        <w:jc w:val="both"/>
        <w:spacing w:before="24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Таблица 4 — График сканирования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W w:w="0" w:type="auto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276"/>
        <w:gridCol w:w="2126"/>
        <w:gridCol w:w="3456"/>
        <w:gridCol w:w="2635"/>
      </w:tblGrid>
      <w:tr>
        <w:tblPrEx/>
        <w:trPr>
          <w:tblCellSpacing w:w="0" w:type="dxa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24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Дата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24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Тип работ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  <w:p>
            <w:pPr>
              <w:pStyle w:val="1329"/>
              <w:contextualSpacing/>
              <w:jc w:val="center"/>
              <w:spacing w:before="24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(полевые / камеральные)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24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Сканированные объекты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24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Наименование файлов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</w:tc>
      </w:tr>
      <w:tr>
        <w:tblPrEx/>
        <w:trPr>
          <w:tblCellSpacing w:w="0" w:type="dxa"/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24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pStyle w:val="1157"/>
        <w:numPr>
          <w:ilvl w:val="0"/>
          <w:numId w:val="13"/>
        </w:numPr>
        <w:ind w:firstLine="709"/>
        <w:jc w:val="both"/>
        <w:spacing w:before="240" w:after="200" w:line="276" w:lineRule="auto"/>
        <w:tabs>
          <w:tab w:val="left" w:pos="993" w:leader="none"/>
        </w:tabs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color w:val="000000"/>
          <w:sz w:val="28"/>
          <w:szCs w:val="28"/>
        </w:rPr>
        <w:t xml:space="preserve">Методика производства работ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pStyle w:val="1329"/>
        <w:contextualSpacing/>
        <w:jc w:val="both"/>
        <w:spacing w:before="24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Таблица 5 — Методика производства работ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W w:w="0" w:type="auto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703"/>
        <w:gridCol w:w="4790"/>
      </w:tblGrid>
      <w:tr>
        <w:tblPrEx/>
        <w:trPr>
          <w:tblCellSpacing w:w="0" w:type="dxa"/>
          <w:trHeight w:val="496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center"/>
              <w:spacing w:before="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Наименование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center"/>
              <w:spacing w:before="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Отчет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Проверка точности регистрации данных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Описание процесса: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Вывод: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Очистка ТЛО от шумов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Описание процесса: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Вывод: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Сшивка ТЛО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Описание процесса: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Вывод: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Метод уравнивания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Описание процесса: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Вывод: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Cs/>
                <w:color w:val="000000"/>
                <w:sz w:val="28"/>
                <w:szCs w:val="28"/>
              </w:rPr>
              <w:t xml:space="preserve">Вид работ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Описание процесса: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Вывод: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142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contextualSpacing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1"/>
          <w:numId w:val="14"/>
        </w:numPr>
        <w:ind w:firstLine="709"/>
        <w:jc w:val="both"/>
        <w:spacing w:after="200" w:line="276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color w:val="000000"/>
          <w:sz w:val="28"/>
          <w:szCs w:val="28"/>
        </w:rPr>
        <w:t xml:space="preserve">Ведомость уравнивания и оценки точности</w:t>
      </w:r>
      <w:r>
        <w:rPr>
          <w:rFonts w:asciiTheme="majorHAnsi" w:hAnsiTheme="majorHAnsi" w:cstheme="majorHAnsi"/>
          <w:b/>
        </w:rPr>
      </w:r>
      <w:r>
        <w:rPr>
          <w:rFonts w:asciiTheme="majorHAnsi" w:hAnsiTheme="majorHAnsi" w:cstheme="majorHAnsi"/>
          <w:b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000000"/>
        </w:rPr>
        <w:t xml:space="preserve">Примечание.</w:t>
      </w:r>
      <w:r>
        <w:rPr>
          <w:rFonts w:asciiTheme="majorHAnsi" w:hAnsiTheme="majorHAnsi" w:cstheme="majorHAnsi"/>
          <w:color w:val="000000"/>
        </w:rPr>
        <w:t xml:space="preserve"> Исполнитель прикладывает ведомость уравнивания и оценки т</w:t>
      </w:r>
      <w:r>
        <w:rPr>
          <w:rFonts w:asciiTheme="majorHAnsi" w:hAnsiTheme="majorHAnsi" w:cstheme="majorHAnsi"/>
          <w:color w:val="000000"/>
        </w:rPr>
        <w:t xml:space="preserve">очности, в которой указывается используемое для обработки программное обеспечение. Производится оценка точности положения стоянок сканирования. В зависимости от используемого программного обеспечения ведомость уравнивания и оценки точности может разниться.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Пример ведомости уравнивая и оценки точности, выгруженной из ПО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10"/>
        </w:numPr>
        <w:contextualSpacing/>
        <w:ind w:left="0"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Отчет по данным проекта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Таблица 6 — Образец формы отчета по данным проекта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tbl>
      <w:tblPr>
        <w:tblW w:w="0" w:type="auto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793"/>
      </w:tblGrid>
      <w:tr>
        <w:tblPrEx/>
        <w:trPr>
          <w:tblCellSpacing w:w="0" w:type="dxa"/>
          <w:trHeight w:val="379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Имя проекта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93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Папка проекта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93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250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Время создания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93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Линейные единицы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93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322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Угловые единицы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93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322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ИГД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93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pStyle w:val="1329"/>
        <w:contextualSpacing/>
        <w:ind w:firstLine="709"/>
        <w:jc w:val="center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center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10"/>
        </w:numPr>
        <w:contextualSpacing/>
        <w:ind w:left="0" w:firstLine="709"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Итоговый отчет по уравниванию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Таблица 7 — Образец формы итогового отчета по уравниванию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tbl>
      <w:tblPr>
        <w:tblW w:w="0" w:type="auto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5244"/>
      </w:tblGrid>
      <w:tr>
        <w:tblPrEx/>
        <w:trPr>
          <w:tblCellSpacing w:w="0" w:type="dxa"/>
          <w:trHeight w:val="677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Точки компонента</w: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Тип уравнивания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Ожидаемый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коэфф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качества для 3D ГНСС измерений 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Ожидаемый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коэфф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качества для ГНСС измерений в плане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Ожидаемый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коэфф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качества для ГНСС измерений по высоте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Ожидаемый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коэфф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качества для тахеометрических измерений горизонтальных углов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Ожидаемый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коэфф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качества для тахеометрических измерений вертикальных углов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Кол-во точек с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урав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высотой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Кол-во контрольных точек по высоте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Кол-во взвешенных точек по высоте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Кол-во исключенных взвешенных точек по высоте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Кол-во вертикальных углов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Кол-во исключенных вертикальных углов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Кол-во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нивелирн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выс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измерений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blCellSpacing w:w="0" w:type="dxa"/>
          <w:trHeight w:val="644"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Кол-во исключенных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нивелирн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выс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. измерений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2"/>
          <w:numId w:val="10"/>
        </w:numPr>
        <w:contextualSpacing/>
        <w:ind w:left="0" w:firstLine="709"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Отчет по ТЛО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ind w:left="360"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ind w:left="360"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Таблица 8 — Образец отчета по ТЛО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Style w:val="1172"/>
        <w:tblW w:w="0" w:type="auto"/>
        <w:tblLayout w:type="fixed"/>
        <w:tblLook w:val="04A0" w:firstRow="1" w:lastRow="0" w:firstColumn="1" w:lastColumn="0" w:noHBand="0" w:noVBand="1"/>
      </w:tblPr>
      <w:tblGrid>
        <w:gridCol w:w="992"/>
        <w:gridCol w:w="1417"/>
        <w:gridCol w:w="1417"/>
        <w:gridCol w:w="1559"/>
        <w:gridCol w:w="1095"/>
        <w:gridCol w:w="1032"/>
        <w:gridCol w:w="1069"/>
        <w:gridCol w:w="1056"/>
      </w:tblGrid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Имя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x(N) МСК(м)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2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y(E) МСК(м)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Отметка(м)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095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Контрольная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032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СКО по x(N)для 95%(м)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069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Радиус круга ошибок, для 95%(м)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Ошибка по высоте, для 95%(м)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17,150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12001,494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2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15035,878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17,144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095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Нет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032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0,004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069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0,009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0,006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27120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12063,907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2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15112,878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1,688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95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Нет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32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0,006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69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0,013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0,009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76"/>
        </w:trPr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А1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12014,121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132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15050,017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1,048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95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Нет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32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0,002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69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0,007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56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0,005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76"/>
        </w:trPr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center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А2</w:t>
            </w:r>
            <w:r>
              <w:rPr>
                <w:rFonts w:asciiTheme="majorHAnsi" w:hAnsiTheme="majorHAnsi" w:cstheme="majorHAnsi"/>
                <w:color w:val="000000"/>
              </w:rPr>
            </w:r>
            <w:r>
              <w:rPr>
                <w:rFonts w:asciiTheme="majorHAnsi" w:hAnsiTheme="majorHAnsi" w:cstheme="majorHAnsi"/>
                <w:color w:val="000000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12009,386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132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15057,299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1,069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95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Нет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32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0,002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69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0,006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  <w:tc>
          <w:tcPr>
            <w:tcW w:w="1056" w:type="dxa"/>
            <w:vMerge w:val="restart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16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0,005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r>
          </w:p>
        </w:tc>
      </w:tr>
    </w:tbl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br w:type="page" w:clear="all"/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 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0"/>
          <w:numId w:val="13"/>
        </w:numPr>
        <w:ind w:firstLine="709"/>
        <w:jc w:val="both"/>
        <w:spacing w:after="200" w:line="276" w:lineRule="auto"/>
        <w:tabs>
          <w:tab w:val="left" w:pos="993" w:leader="none"/>
        </w:tabs>
        <w:rPr>
          <w:rFonts w:asciiTheme="majorHAnsi" w:hAnsiTheme="majorHAnsi" w:cstheme="majorHAnsi"/>
          <w:b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color w:val="000000"/>
          <w:sz w:val="28"/>
          <w:szCs w:val="28"/>
        </w:rPr>
        <w:t xml:space="preserve">Отчет о соответствии ТЛО ТЗ </w:t>
      </w:r>
      <w:r>
        <w:rPr>
          <w:rFonts w:asciiTheme="majorHAnsi" w:hAnsiTheme="majorHAnsi" w:cstheme="majorHAnsi"/>
          <w:b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color w:val="000000"/>
          <w:sz w:val="28"/>
          <w:szCs w:val="28"/>
        </w:rPr>
      </w:r>
    </w:p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Таблица 9 — Отчет о соответствии ТЛО ТЗ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W w:w="0" w:type="auto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66"/>
        <w:gridCol w:w="4678"/>
      </w:tblGrid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6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Требование ТЗ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Соответствие ТЛО ТЗ</w:t>
            </w:r>
            <w:r>
              <w:rPr>
                <w:rFonts w:asciiTheme="majorHAnsi" w:hAnsiTheme="majorHAnsi" w:cstheme="majorHAnsi"/>
                <w:b/>
              </w:rPr>
            </w:r>
            <w:r>
              <w:rPr>
                <w:rFonts w:asciiTheme="majorHAnsi" w:hAnsiTheme="majorHAnsi" w:cstheme="majorHAnsi"/>
                <w:b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6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2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6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6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66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pStyle w:val="1157"/>
        <w:numPr>
          <w:ilvl w:val="0"/>
          <w:numId w:val="13"/>
        </w:numPr>
        <w:ind w:firstLine="709"/>
        <w:jc w:val="both"/>
        <w:spacing w:after="200" w:line="276" w:lineRule="auto"/>
        <w:tabs>
          <w:tab w:val="left" w:pos="993" w:leader="none"/>
        </w:tabs>
        <w:rPr>
          <w:rFonts w:asciiTheme="majorHAnsi" w:hAnsiTheme="majorHAnsi" w:cstheme="majorHAnsi"/>
          <w:b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color w:val="000000"/>
          <w:sz w:val="28"/>
          <w:szCs w:val="28"/>
        </w:rPr>
        <w:t xml:space="preserve">Отчет о визуальной проверке ТЛО</w:t>
      </w:r>
      <w:r>
        <w:rPr>
          <w:rFonts w:asciiTheme="majorHAnsi" w:hAnsiTheme="majorHAnsi" w:cstheme="majorHAnsi"/>
          <w:b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color w:val="000000"/>
          <w:sz w:val="28"/>
          <w:szCs w:val="28"/>
        </w:rPr>
      </w:r>
    </w:p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Таблица 10 — Критерии визуальной проверки качества ТЛО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W w:w="0" w:type="auto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52"/>
        <w:gridCol w:w="4692"/>
      </w:tblGrid>
      <w:tr>
        <w:tblPrEx/>
        <w:trPr>
          <w:tblCellSpacing w:w="0" w:type="dxa"/>
          <w:trHeight w:val="629"/>
        </w:trPr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left="-104"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Показатель</w: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Результат проверки</w: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Шум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Впишите ДА/НЕТ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шумы позволяют однозначно идентифицировать габариты объектов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Графическое разрешение небольших объектов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Впишите ДА/НЕТ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небольшие объекты можно однозначно идентифицировать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Абсолютная погрешность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Впишите ДА/НЕТ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абсолютная погрешность находится в пределах предельного отклонения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Относительная погрешность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Впишите ДА/НЕТ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относительная погрешность находится в пределах предельного отклонения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Погрешность ориентации  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2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Впишите ДА/НЕТ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8"/>
                <w:szCs w:val="28"/>
              </w:rPr>
              <w:t xml:space="preserve">относительная погрешность находится в пределах предельного отклонения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pStyle w:val="1329"/>
        <w:contextualSpacing/>
        <w:ind w:firstLine="709"/>
        <w:jc w:val="both"/>
        <w:spacing w:before="283" w:beforeAutospacing="0" w:after="85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Примечание: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Результаты визуальной проверки считают положительными, а ТЛО прошедшим испытания, если они проанализированы в полном объеме и последовательности, которые описаны в п.4.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Результаты визуальной проверки считаются отрицательными, а ТЛО не прошедшим визуальную проверку, если по результатам проверки будет выявлено несоответствие ТЛО хотя бы по одному критерию визуальной проверки качества ТЛО.</w:t>
      </w:r>
      <w:r>
        <w:rPr>
          <w:rFonts w:asciiTheme="majorHAnsi" w:hAnsiTheme="majorHAnsi" w:cstheme="majorHAnsi"/>
          <w:color w:val="000000"/>
          <w:sz w:val="22"/>
          <w:szCs w:val="22"/>
        </w:rPr>
        <w:br w:type="page" w:clear="all"/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center"/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Style w:val="1453"/>
          <w:rFonts w:asciiTheme="majorHAnsi" w:hAnsiTheme="majorHAnsi" w:cstheme="majorHAnsi"/>
          <w:bCs/>
          <w:color w:val="000000"/>
          <w:sz w:val="28"/>
          <w:szCs w:val="28"/>
        </w:rPr>
        <w:br/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В.3 План-график приемки результатов лазерного сканирования объекта капитального строительства</w:t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center"/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pStyle w:val="1447"/>
        <w:contextualSpacing/>
        <w:ind w:firstLine="709"/>
        <w:jc w:val="both"/>
        <w:spacing w:before="0" w:beforeAutospacing="0" w:after="0" w:afterAutospacing="0"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от ________     ____________________ 20___ г.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spacing w:line="273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tbl>
      <w:tblPr>
        <w:tblStyle w:val="1458"/>
        <w:tblW w:w="0" w:type="auto"/>
        <w:tblLook w:val="04A0" w:firstRow="1" w:lastRow="0" w:firstColumn="1" w:lastColumn="0" w:noHBand="0" w:noVBand="1"/>
      </w:tblPr>
      <w:tblGrid>
        <w:gridCol w:w="992"/>
        <w:gridCol w:w="1646"/>
        <w:gridCol w:w="2479"/>
        <w:gridCol w:w="4511"/>
      </w:tblGrid>
      <w:tr>
        <w:tblPrEx/>
        <w:trPr>
          <w:trHeight w:val="786"/>
        </w:trPr>
        <w:tc>
          <w:tcPr>
            <w:tcW w:w="843" w:type="dxa"/>
            <w:textDirection w:val="lrTb"/>
            <w:noWrap w:val="false"/>
          </w:tcPr>
          <w:p>
            <w:pPr>
              <w:contextualSpacing/>
              <w:jc w:val="center"/>
              <w:spacing w:after="200" w:line="273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№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200" w:line="273" w:lineRule="auto"/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п.п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W w:w="1687" w:type="dxa"/>
            <w:textDirection w:val="lrTb"/>
            <w:noWrap w:val="false"/>
          </w:tcPr>
          <w:p>
            <w:pPr>
              <w:contextualSpacing/>
              <w:jc w:val="center"/>
              <w:spacing w:after="200" w:line="273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Дата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</w:p>
        </w:tc>
        <w:tc>
          <w:tcPr>
            <w:tcW w:w="2572" w:type="dxa"/>
            <w:textDirection w:val="lrTb"/>
            <w:noWrap w:val="false"/>
          </w:tcPr>
          <w:p>
            <w:pPr>
              <w:contextualSpacing/>
              <w:jc w:val="center"/>
              <w:spacing w:after="200" w:line="273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Этап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</w:p>
        </w:tc>
        <w:tc>
          <w:tcPr>
            <w:tcW w:w="4669" w:type="dxa"/>
            <w:textDirection w:val="lrTb"/>
            <w:noWrap w:val="false"/>
          </w:tcPr>
          <w:p>
            <w:pPr>
              <w:contextualSpacing/>
              <w:jc w:val="center"/>
              <w:spacing w:after="200" w:line="273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</w:rPr>
              <w:t xml:space="preserve">Отметка о выполнении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84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1687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57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4669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rHeight w:val="292"/>
        </w:trPr>
        <w:tc>
          <w:tcPr>
            <w:tcW w:w="84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1687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57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4669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/>
        <w:tc>
          <w:tcPr>
            <w:tcW w:w="84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1687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57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4669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/>
        <w:tc>
          <w:tcPr>
            <w:tcW w:w="84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1687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57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4669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/>
        <w:tc>
          <w:tcPr>
            <w:tcW w:w="84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1687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57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4669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/>
        <w:tc>
          <w:tcPr>
            <w:tcW w:w="84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1687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57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4669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/>
        <w:tc>
          <w:tcPr>
            <w:tcW w:w="84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1687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2572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W w:w="4669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 w:line="273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</w:tbl>
    <w:p>
      <w:pPr>
        <w:contextualSpacing/>
        <w:ind w:firstLine="709"/>
        <w:jc w:val="both"/>
        <w:spacing w:after="200" w:line="273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after="200" w:line="273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Руководитель Заказчика (Должность)</w:t>
      </w:r>
      <w:r>
        <w:rPr>
          <w:rFonts w:asciiTheme="majorHAnsi" w:hAnsiTheme="majorHAnsi" w:cstheme="majorHAnsi"/>
          <w:color w:val="000000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after="200" w:line="273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М.П.</w:t>
      </w:r>
      <w:r>
        <w:rPr>
          <w:rFonts w:asciiTheme="majorHAnsi" w:hAnsiTheme="majorHAnsi" w:cstheme="majorHAnsi"/>
          <w:color w:val="000000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after="200" w:line="273" w:lineRule="auto"/>
        <w:rPr>
          <w:rFonts w:asciiTheme="majorHAnsi" w:hAnsiTheme="majorHAnsi" w:cstheme="majorHAnsi"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___________       _____________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200" w:line="273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i/>
          <w:iCs/>
          <w:color w:val="000000"/>
          <w:lang w:eastAsia="ru-RU"/>
        </w:rPr>
        <w:t xml:space="preserve">(Подпись)</w:t>
      </w:r>
      <w:r>
        <w:rPr>
          <w:rFonts w:asciiTheme="majorHAnsi" w:hAnsiTheme="majorHAnsi" w:cstheme="majorHAnsi"/>
          <w:i/>
          <w:iCs/>
          <w:color w:val="000000"/>
          <w:lang w:eastAsia="ru-RU"/>
        </w:rPr>
        <w:tab/>
      </w:r>
      <w:r>
        <w:rPr>
          <w:rFonts w:asciiTheme="majorHAnsi" w:hAnsiTheme="majorHAnsi" w:cstheme="majorHAnsi"/>
          <w:i/>
          <w:iCs/>
          <w:color w:val="000000"/>
          <w:lang w:eastAsia="ru-RU"/>
        </w:rPr>
        <w:tab/>
        <w:t xml:space="preserve">     </w:t>
      </w:r>
      <w:r>
        <w:rPr>
          <w:rFonts w:asciiTheme="majorHAnsi" w:hAnsiTheme="majorHAnsi" w:cstheme="majorHAnsi"/>
          <w:i/>
          <w:iCs/>
          <w:color w:val="000000"/>
          <w:lang w:eastAsia="ru-RU"/>
        </w:rPr>
        <w:t xml:space="preserve">   (</w:t>
      </w:r>
      <w:r>
        <w:rPr>
          <w:rFonts w:asciiTheme="majorHAnsi" w:hAnsiTheme="majorHAnsi" w:cstheme="majorHAnsi"/>
          <w:i/>
          <w:iCs/>
          <w:color w:val="000000"/>
          <w:lang w:eastAsia="ru-RU"/>
        </w:rPr>
        <w:t xml:space="preserve">Расшифровка)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after="200" w:line="273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«__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_»  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_____________ 20___г.</w:t>
      </w:r>
      <w:r>
        <w:rPr>
          <w:rFonts w:asciiTheme="majorHAnsi" w:hAnsiTheme="majorHAnsi" w:cstheme="majorHAnsi"/>
          <w:color w:val="000000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rPr>
          <w:rStyle w:val="1453"/>
          <w:rFonts w:asciiTheme="majorHAnsi" w:hAnsiTheme="majorHAnsi" w:cstheme="majorHAnsi"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Cs/>
          <w:color w:val="000000"/>
          <w:sz w:val="28"/>
          <w:szCs w:val="28"/>
        </w:rPr>
      </w:r>
      <w:r>
        <w:rPr>
          <w:rStyle w:val="1453"/>
          <w:rFonts w:asciiTheme="majorHAnsi" w:hAnsiTheme="majorHAnsi" w:cstheme="majorHAnsi"/>
          <w:bCs/>
          <w:color w:val="000000"/>
          <w:sz w:val="28"/>
          <w:szCs w:val="28"/>
        </w:rPr>
      </w:r>
      <w:r>
        <w:rPr>
          <w:rStyle w:val="1453"/>
          <w:rFonts w:asciiTheme="majorHAnsi" w:hAnsiTheme="majorHAnsi" w:cstheme="majorHAnsi"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Style w:val="1453"/>
          <w:rFonts w:asciiTheme="majorHAnsi" w:hAnsiTheme="majorHAnsi" w:cstheme="majorHAnsi"/>
          <w:bCs/>
          <w:color w:val="000000"/>
          <w:sz w:val="28"/>
          <w:szCs w:val="28"/>
        </w:rPr>
        <w:br w:type="page" w:clear="all"/>
      </w:r>
      <w:r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center"/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В.4 </w:t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Пример акта сдачи-приемки результатов лазерного сканирования</w:t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4"/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300"/>
        <w:gridCol w:w="992"/>
        <w:gridCol w:w="4346"/>
      </w:tblGrid>
      <w:tr>
        <w:tblPrEx/>
        <w:trPr>
          <w:tblCellSpacing w:w="0" w:type="dxa"/>
          <w:trHeight w:val="1842"/>
        </w:trPr>
        <w:tc>
          <w:tcPr>
            <w:tcW w:w="4394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«УТВЕРЖДАЮ»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Руководитель Заказчика (Должность)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М.П.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       ___________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(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Подпись)  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                      (Расшифровка)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«__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_»  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____________20___г.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W w:w="568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W w:w="4394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«УТВЕРЖДАЮ»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Руководитель Исполнителя (Должность)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М.П.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       ___________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(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Подпись)  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                      (Расшифровка) </w:t>
            </w:r>
            <w:r>
              <w:rPr>
                <w:rFonts w:asciiTheme="majorHAnsi" w:hAnsiTheme="majorHAnsi" w:cstheme="majorHAnsi"/>
                <w:bCs/>
                <w:i/>
                <w:color w:val="000000"/>
                <w:sz w:val="20"/>
                <w:szCs w:val="20"/>
              </w:rPr>
            </w:r>
            <w:r>
              <w:rPr>
                <w:rFonts w:asciiTheme="majorHAnsi" w:hAnsiTheme="majorHAnsi" w:cstheme="majorHAnsi"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«__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_»  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_____________20___г.</w:t>
            </w:r>
            <w:r>
              <w:rPr>
                <w:rFonts w:asciiTheme="majorHAnsi" w:hAnsiTheme="majorHAnsi" w:cstheme="majorHAnsi"/>
                <w:bCs/>
                <w:i/>
                <w:color w:val="000000"/>
                <w:sz w:val="20"/>
                <w:szCs w:val="20"/>
              </w:rPr>
            </w:r>
            <w:r>
              <w:rPr>
                <w:rFonts w:asciiTheme="majorHAnsi" w:hAnsiTheme="majorHAnsi" w:cstheme="majorHAnsi"/>
                <w:bCs/>
                <w:i/>
                <w:color w:val="000000"/>
                <w:sz w:val="20"/>
                <w:szCs w:val="20"/>
              </w:rPr>
            </w:r>
          </w:p>
        </w:tc>
      </w:tr>
    </w:tbl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center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АКТ №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 ___от «___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_»_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______20__ г.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center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сдачи-приемки результатов лазерного сканирования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Проведение наземного лазерного сканирования объекта капитального строительства, расположенного по адресу: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________________________________________________________________________________________________________________________________________________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center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iCs/>
          <w:color w:val="000000"/>
          <w:sz w:val="22"/>
          <w:szCs w:val="22"/>
        </w:rPr>
        <w:t xml:space="preserve">(наименование и расположение объекта)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0"/>
          <w:numId w:val="11"/>
        </w:numPr>
        <w:contextualSpacing/>
        <w:ind w:left="0" w:firstLine="709"/>
        <w:jc w:val="both"/>
        <w:spacing w:before="0" w:beforeAutospacing="0" w:after="0" w:afterAutospacing="0"/>
        <w:tabs>
          <w:tab w:val="num" w:pos="142" w:leader="none"/>
          <w:tab w:val="clear" w:pos="720" w:leader="none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Во исполнение Договора № ___________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от "___"____________ ______ г. (далее - Договор) Исполнитель сдал, </w:t>
      </w:r>
      <w:r>
        <w:rPr>
          <w:rFonts w:asciiTheme="majorHAnsi" w:hAnsiTheme="majorHAnsi" w:cstheme="majorHAnsi"/>
          <w:color w:val="000000"/>
          <w:sz w:val="28"/>
          <w:szCs w:val="28"/>
        </w:rPr>
        <w:br/>
        <w:t xml:space="preserve">а Заказчик принял следующие выполненные работы: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2623"/>
        <w:gridCol w:w="1825"/>
        <w:gridCol w:w="1255"/>
        <w:gridCol w:w="1950"/>
        <w:gridCol w:w="1984"/>
      </w:tblGrid>
      <w:tr>
        <w:tblPrEx/>
        <w:trPr>
          <w:tblCellSpacing w:w="0" w:type="dxa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2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Наименование выполненных работ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2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Фактические сроки окончания работ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25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Цена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Качество выполненных работ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Замечания Заказчика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2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2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25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2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2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25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23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2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255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pStyle w:val="1329"/>
        <w:contextualSpacing/>
        <w:ind w:firstLine="709"/>
        <w:jc w:val="both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0"/>
          <w:numId w:val="11"/>
        </w:numPr>
        <w:contextualSpacing/>
        <w:ind w:left="0" w:firstLine="709"/>
        <w:jc w:val="both"/>
        <w:spacing w:before="0" w:beforeAutospacing="0" w:after="0" w:afterAutospacing="0"/>
        <w:tabs>
          <w:tab w:val="num" w:pos="142" w:leader="none"/>
          <w:tab w:val="clear" w:pos="720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Качество выполненных работ проверено Заказчиком в присутствии Исполнителя и соответствует/не соответствует требованиям Заказчика и/или условиям Договора.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0"/>
          <w:numId w:val="11"/>
        </w:numPr>
        <w:contextualSpacing/>
        <w:ind w:left="0" w:firstLine="709"/>
        <w:jc w:val="both"/>
        <w:spacing w:before="0" w:beforeAutospacing="0" w:after="0" w:afterAutospacing="0"/>
        <w:tabs>
          <w:tab w:val="num" w:pos="142" w:leader="none"/>
          <w:tab w:val="clear" w:pos="720" w:leader="none"/>
        </w:tabs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В случае если качество выполненных работ не соответствует требованиям Заказчика и/или условиям Договора: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1"/>
          <w:numId w:val="12"/>
        </w:numPr>
        <w:contextualSpacing/>
        <w:ind w:left="0" w:firstLine="709"/>
        <w:jc w:val="both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Выявленные Заказчиком недостатки результата работ: _____________________________________________________________.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numPr>
          <w:ilvl w:val="1"/>
          <w:numId w:val="12"/>
        </w:numPr>
        <w:contextualSpacing/>
        <w:ind w:left="0" w:firstLine="709"/>
        <w:jc w:val="both"/>
        <w:spacing w:before="0" w:beforeAutospacing="0" w:after="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Сроки устранения выявленных недостатков: _____________________________________________________________.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1"/>
          <w:numId w:val="12"/>
        </w:numPr>
        <w:contextualSpacing/>
        <w:ind w:left="0" w:firstLine="709"/>
        <w:jc w:val="both"/>
        <w:spacing w:before="0" w:beforeAutospacing="0" w:after="0" w:afterAutospacing="0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Порядок устранения выявленных недостатков: _____________________________________________________________.</w:t>
      </w: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329"/>
        <w:numPr>
          <w:ilvl w:val="1"/>
          <w:numId w:val="12"/>
        </w:numPr>
        <w:contextualSpacing/>
        <w:ind w:left="0" w:firstLine="709"/>
        <w:jc w:val="both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 xml:space="preserve">Примечание: вышеуказанные сроки отсчитываются с момента: _____________________________________________________________.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pStyle w:val="1329"/>
        <w:contextualSpacing/>
        <w:ind w:firstLine="709"/>
        <w:jc w:val="both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118"/>
        <w:gridCol w:w="3520"/>
      </w:tblGrid>
      <w:tr>
        <w:tblPrEx/>
        <w:trPr>
          <w:tblCellSpacing w:w="0" w:type="dxa"/>
        </w:trPr>
        <w:tc>
          <w:tcPr>
            <w:tcW w:w="467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Сдал: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Исполнитель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________________________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М.П.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Принял: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Заказчик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________________________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М.П.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blCellSpacing w:w="0" w:type="dxa"/>
        </w:trPr>
        <w:tc>
          <w:tcPr>
            <w:tcW w:w="4677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Руководитель Исполнителя (должность)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       ______________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(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Подпись)  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                      (Расшифровка)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«__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_»  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_______________ 20___г.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Руководитель Заказчика (должность)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ind w:firstLine="709"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 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       _______________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(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Подпись)  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 xml:space="preserve">                      (Расшифровка)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  <w:p>
            <w:pPr>
              <w:pStyle w:val="1329"/>
              <w:contextualSpacing/>
              <w:jc w:val="both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«__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_»  _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_______________ 20___г.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</w:tbl>
    <w:p>
      <w:pPr>
        <w:pStyle w:val="1329"/>
        <w:contextualSpacing/>
        <w:ind w:firstLine="709"/>
        <w:jc w:val="both"/>
        <w:spacing w:before="0" w:beforeAutospacing="0" w:after="16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 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tabs>
          <w:tab w:val="left" w:pos="1789" w:leader="none"/>
        </w:tabs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Style w:val="1453"/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br w:type="page" w:clear="all"/>
      </w: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</w:p>
    <w:p>
      <w:pPr>
        <w:pStyle w:val="1135"/>
        <w:numPr>
          <w:ilvl w:val="0"/>
          <w:numId w:val="0"/>
        </w:numPr>
        <w:rPr>
          <w:rStyle w:val="1453"/>
          <w:rFonts w:asciiTheme="majorHAnsi" w:hAnsiTheme="majorHAnsi" w:cstheme="majorHAnsi"/>
          <w:color w:val="auto"/>
          <w:sz w:val="28"/>
          <w:szCs w:val="28"/>
        </w:rPr>
      </w:pPr>
      <w:r/>
      <w:bookmarkStart w:id="34" w:name="_Toc223350018"/>
      <w:r>
        <w:rPr>
          <w:rStyle w:val="1453"/>
          <w:rFonts w:asciiTheme="majorHAnsi" w:hAnsiTheme="majorHAnsi" w:cstheme="majorHAnsi"/>
          <w:color w:val="000000"/>
          <w:sz w:val="28"/>
          <w:szCs w:val="28"/>
        </w:rPr>
        <w:t xml:space="preserve">Приложение Г (справочное)</w:t>
      </w:r>
      <w:r>
        <w:rPr>
          <w:rStyle w:val="1453"/>
          <w:rFonts w:asciiTheme="majorHAnsi" w:hAnsiTheme="majorHAnsi" w:cstheme="majorHAnsi"/>
          <w:color w:val="000000"/>
          <w:sz w:val="28"/>
          <w:szCs w:val="28"/>
        </w:rPr>
        <w:br/>
        <w:t xml:space="preserve">Перечень исполнительных схем, сформированных на основе исполнительной ЦИМ ОКС</w:t>
      </w:r>
      <w:bookmarkEnd w:id="34"/>
      <w:r>
        <w:rPr>
          <w:rStyle w:val="1453"/>
          <w:rFonts w:asciiTheme="majorHAnsi" w:hAnsiTheme="majorHAnsi" w:cstheme="majorHAnsi"/>
          <w:color w:val="auto"/>
          <w:sz w:val="28"/>
          <w:szCs w:val="28"/>
        </w:rPr>
      </w:r>
      <w:r>
        <w:rPr>
          <w:rStyle w:val="1453"/>
          <w:rFonts w:asciiTheme="majorHAnsi" w:hAnsiTheme="majorHAnsi" w:cstheme="majorHAnsi"/>
          <w:color w:val="auto"/>
          <w:sz w:val="28"/>
          <w:szCs w:val="28"/>
        </w:rPr>
      </w:r>
    </w:p>
    <w:p>
      <w:pPr>
        <w:rPr>
          <w:rStyle w:val="1453"/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</w:r>
      <w:r>
        <w:rPr>
          <w:rStyle w:val="1453"/>
          <w:rFonts w:asciiTheme="majorHAnsi" w:hAnsiTheme="majorHAnsi" w:cstheme="majorHAnsi"/>
          <w:color w:val="000000"/>
          <w:sz w:val="28"/>
          <w:szCs w:val="28"/>
        </w:rPr>
      </w:r>
      <w:r>
        <w:rPr>
          <w:rStyle w:val="1453"/>
          <w:rFonts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8"/>
          <w:szCs w:val="22"/>
        </w:rPr>
        <w:t xml:space="preserve">Несущие конструкции, конструктивные элементы: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1"/>
          <w:numId w:val="46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Поэтажные исполнительные схемы перекрытий. 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1"/>
          <w:numId w:val="46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 лифтовых шахт.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Наружные, внутренние стены, перегородки: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47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 Исполнительная схема монтажного горизонта стен, перегородок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1"/>
          <w:numId w:val="47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 устройства стен, перегородок.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Кровля: 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numPr>
          <w:ilvl w:val="1"/>
          <w:numId w:val="48"/>
        </w:numPr>
        <w:ind w:left="0" w:firstLine="850"/>
        <w:jc w:val="both"/>
        <w:rPr>
          <w:rFonts w:ascii="Arial" w:hAnsi="Arial" w:cs="Arial"/>
          <w:sz w:val="28"/>
          <w:szCs w:val="22"/>
        </w:rP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 на устройство слоев кровли (в том числе поэтапное устройство).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Двери, окна, витражные конструкции: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49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 по монтажу дверных/оконных блоков/витражей.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Наружные отделочные работы (фасад):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0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 на устройство фасада (в том числе поэтапное устройство).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Водопровод (горячее водоснабжение (ГВС) и холодное водоснабжение (ХВС):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1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 водомерного узла с трубопроводами и запорной арматурой.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1"/>
          <w:numId w:val="51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схема/чертеж на монтаж трубопроводов.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Отопление и теплоснабжение: 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2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схема/чертеж системы отопления.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Канализация: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3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схема/чертеж системы канализации.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Вентиляция и кондиционирование: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4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схема/чертеж монтажа воздуховодов и оборудования.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Внутренний противопожарный водопровод: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5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 Исполнительная схема/чертеж на монтаж трубопроводов.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Противодымная вентиляция: 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6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 Исполнительная схема/чертеж монтажа воздуховодов и оборудования.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Системы передачи извещений о пожаре: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7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 Исполнительная схема/чертеж монтажа системы.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СС: 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8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Исполнительная схема, чертеж сетей связи.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Внутреннее электроснабжение, освещение: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59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 Исполнительная схема монтажа вводно-распределительного устройства.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1"/>
          <w:numId w:val="59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 Исполнительный чертеж сетей электроснабжения и электроосвещения.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1"/>
          <w:numId w:val="59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 Исполнительная схема на монтаж кабельных линий (в том числе распределительных).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pStyle w:val="1157"/>
        <w:numPr>
          <w:ilvl w:val="0"/>
          <w:numId w:val="45"/>
        </w:numPr>
        <w:ind w:left="0" w:firstLine="850"/>
        <w:jc w:val="both"/>
        <w:rPr>
          <w:rFonts w:ascii="Arial" w:hAnsi="Arial" w:eastAsia="Arial" w:cs="Arial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Лифты подъемник: 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</w:p>
    <w:p>
      <w:pPr>
        <w:pStyle w:val="1157"/>
        <w:numPr>
          <w:ilvl w:val="1"/>
          <w:numId w:val="60"/>
        </w:numPr>
        <w:ind w:left="0" w:firstLine="850"/>
        <w:jc w:val="both"/>
        <w:rPr>
          <w:rFonts w:ascii="Arial" w:hAnsi="Arial" w:cs="Arial"/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8"/>
          <w:szCs w:val="22"/>
        </w:rPr>
        <w:t xml:space="preserve"> Исполнительная схема строительной части.</w:t>
      </w:r>
      <w:r>
        <w:rPr>
          <w:rFonts w:ascii="Arial" w:hAnsi="Arial" w:cs="Arial"/>
          <w:sz w:val="28"/>
          <w:szCs w:val="22"/>
        </w:rPr>
      </w:r>
      <w:r>
        <w:rPr>
          <w:rFonts w:ascii="Arial" w:hAnsi="Arial" w:cs="Arial"/>
          <w:sz w:val="28"/>
          <w:szCs w:val="22"/>
        </w:rPr>
      </w:r>
    </w:p>
    <w:p>
      <w:pPr>
        <w:ind w:firstLine="850"/>
        <w:jc w:val="both"/>
        <w:rPr>
          <w:rStyle w:val="1453"/>
          <w:rFonts w:asciiTheme="majorHAnsi" w:hAnsiTheme="majorHAnsi" w:cstheme="majorHAnsi"/>
          <w:sz w:val="28"/>
          <w:szCs w:val="28"/>
        </w:rPr>
        <w:sectPr>
          <w:footnotePr/>
          <w:endnotePr/>
          <w:type w:val="nextPage"/>
          <w:pgSz w:w="11906" w:h="16838" w:orient="portrait"/>
          <w:pgMar w:top="1276" w:right="992" w:bottom="1134" w:left="1276" w:header="709" w:footer="709" w:gutter="0"/>
          <w:cols w:num="1" w:sep="0" w:space="708" w:equalWidth="1"/>
          <w:docGrid w:linePitch="360"/>
        </w:sectPr>
      </w:pPr>
      <w:r>
        <w:rPr>
          <w:rFonts w:asciiTheme="majorHAnsi" w:hAnsiTheme="majorHAnsi" w:cstheme="majorHAnsi"/>
          <w:sz w:val="28"/>
          <w:szCs w:val="28"/>
        </w:rPr>
      </w:r>
      <w:r>
        <w:rPr>
          <w:rStyle w:val="1453"/>
          <w:rFonts w:asciiTheme="majorHAnsi" w:hAnsiTheme="majorHAnsi" w:cstheme="majorHAnsi"/>
          <w:sz w:val="28"/>
          <w:szCs w:val="28"/>
        </w:rPr>
      </w:r>
      <w:r>
        <w:rPr>
          <w:rStyle w:val="1453"/>
          <w:rFonts w:asciiTheme="majorHAnsi" w:hAnsiTheme="majorHAnsi" w:cstheme="majorHAnsi"/>
          <w:sz w:val="28"/>
          <w:szCs w:val="28"/>
        </w:rPr>
      </w:r>
    </w:p>
    <w:p>
      <w:pPr>
        <w:pStyle w:val="1135"/>
        <w:numPr>
          <w:ilvl w:val="0"/>
          <w:numId w:val="0"/>
        </w:numPr>
        <w:rPr>
          <w:rFonts w:asciiTheme="majorHAnsi" w:hAnsiTheme="majorHAnsi" w:cstheme="majorHAnsi"/>
          <w:color w:val="auto"/>
          <w:sz w:val="28"/>
          <w:szCs w:val="28"/>
        </w:rPr>
      </w:pPr>
      <w:r/>
      <w:bookmarkStart w:id="35" w:name="_Toc223350019"/>
      <w:r>
        <w:rPr>
          <w:rStyle w:val="1453"/>
          <w:rFonts w:asciiTheme="majorHAnsi" w:hAnsiTheme="majorHAnsi" w:cstheme="majorHAnsi"/>
          <w:color w:val="000000"/>
          <w:sz w:val="28"/>
          <w:szCs w:val="28"/>
        </w:rPr>
        <w:t xml:space="preserve">Приложение Д (справочное)</w:t>
      </w:r>
      <w:r>
        <w:rPr>
          <w:rStyle w:val="1453"/>
          <w:rFonts w:asciiTheme="majorHAnsi" w:hAnsiTheme="majorHAnsi" w:cstheme="majorHAnsi"/>
          <w:color w:val="000000"/>
          <w:sz w:val="28"/>
          <w:szCs w:val="28"/>
        </w:rPr>
        <w:br/>
        <w:t xml:space="preserve">Исполнительные схемы, сформированные на основе исполнительной ЦИМ ОКС</w:t>
      </w:r>
      <w:bookmarkEnd w:id="35"/>
      <w:r>
        <w:rPr>
          <w:rFonts w:asciiTheme="majorHAnsi" w:hAnsiTheme="majorHAnsi" w:cstheme="majorHAnsi"/>
          <w:color w:val="auto"/>
          <w:sz w:val="28"/>
          <w:szCs w:val="28"/>
        </w:rPr>
      </w:r>
      <w:r>
        <w:rPr>
          <w:rFonts w:asciiTheme="majorHAnsi" w:hAnsiTheme="majorHAnsi" w:cstheme="majorHAnsi"/>
          <w:color w:val="auto"/>
          <w:sz w:val="28"/>
          <w:szCs w:val="28"/>
        </w:rPr>
      </w:r>
    </w:p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210777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127740</wp:posOffset>
                </wp:positionV>
                <wp:extent cx="7443810" cy="4187254"/>
                <wp:effectExtent l="0" t="0" r="0" b="0"/>
                <wp:wrapSquare wrapText="bothSides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200899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7443809" cy="41872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position:absolute;z-index:252107776;o:allowoverlap:true;o:allowincell:true;mso-position-horizontal-relative:text;margin-left:63.00pt;mso-position-horizontal:absolute;mso-position-vertical-relative:text;margin-top:10.06pt;mso-position-vertical:absolute;width:586.13pt;height:329.71pt;mso-wrap-distance-left:9.07pt;mso-wrap-distance-top:0.00pt;mso-wrap-distance-right:9.07pt;mso-wrap-distance-bottom:0.00pt;" stroked="false">
                <v:path textboxrect="0,0,0,0"/>
                <w10:wrap type="square"/>
                <v:imagedata r:id="rId44" o:title=""/>
              </v:shape>
            </w:pict>
          </mc:Fallback>
        </mc:AlternateConten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1157"/>
        <w:ind w:left="0"/>
        <w:jc w:val="center"/>
        <w:keepLines/>
        <w:keepNext/>
        <w:spacing w:line="360" w:lineRule="auto"/>
        <w:tabs>
          <w:tab w:val="left" w:pos="1276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Рисунок Д 1 - Исполнительная схема плиты перекрытия 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r/>
      <w:r/>
    </w:p>
    <w:p>
      <w:r/>
      <w:r/>
    </w:p>
    <w:p>
      <w:pPr>
        <w:pStyle w:val="1157"/>
        <w:ind w:left="0"/>
        <w:jc w:val="center"/>
        <w:keepLines/>
        <w:keepNext/>
        <w:spacing w:line="360" w:lineRule="auto"/>
        <w:tabs>
          <w:tab w:val="left" w:pos="1276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2108800" behindDoc="0" locked="0" layoutInCell="1" allowOverlap="1">
                <wp:simplePos x="0" y="0"/>
                <wp:positionH relativeFrom="column">
                  <wp:posOffset>137583</wp:posOffset>
                </wp:positionH>
                <wp:positionV relativeFrom="paragraph">
                  <wp:posOffset>-888</wp:posOffset>
                </wp:positionV>
                <wp:extent cx="8727203" cy="4911014"/>
                <wp:effectExtent l="0" t="0" r="0" b="0"/>
                <wp:wrapSquare wrapText="bothSides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763767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8727203" cy="49110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position:absolute;z-index:252108800;o:allowoverlap:true;o:allowincell:true;mso-position-horizontal-relative:text;margin-left:10.83pt;mso-position-horizontal:absolute;mso-position-vertical-relative:text;margin-top:-0.07pt;mso-position-vertical:absolute;width:687.18pt;height:386.69pt;mso-wrap-distance-left:9.07pt;mso-wrap-distance-top:0.00pt;mso-wrap-distance-right:9.07pt;mso-wrap-distance-bottom:0.00pt;" stroked="false">
                <v:path textboxrect="0,0,0,0"/>
                <w10:wrap type="square"/>
                <v:imagedata r:id="rId45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Рисунок Д 2 - Исполнительная схема по монтажу устройства стен ЦИМ АР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161780" cy="5153638"/>
                <wp:effectExtent l="0" t="0" r="0" b="0"/>
                <wp:docPr id="17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66091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9161778" cy="5153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721.40pt;height:405.80pt;mso-wrap-distance-left:0.00pt;mso-wrap-distance-top:0.00pt;mso-wrap-distance-right:0.00pt;mso-wrap-distance-bottom:0.00pt;" stroked="false">
                <v:path textboxrect="0,0,0,0"/>
                <v:imagedata r:id="rId46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Рисунок Д 3 - Исполнительная схема по монтажу устройства стен ЦИМ КР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pStyle w:val="1157"/>
        <w:ind w:left="0"/>
        <w:jc w:val="center"/>
        <w:keepLines/>
        <w:keepNext/>
        <w:spacing w:line="360" w:lineRule="auto"/>
        <w:tabs>
          <w:tab w:val="left" w:pos="1276" w:leader="none"/>
        </w:tabs>
        <w:rPr>
          <w:rFonts w:eastAsia="Arial" w:asciiTheme="majorHAnsi" w:hAnsiTheme="majorHAnsi" w:cstheme="majorHAnsi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161780" cy="5153638"/>
                <wp:effectExtent l="0" t="0" r="0" b="0"/>
                <wp:docPr id="18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701712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9161778" cy="5153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721.40pt;height:405.80pt;mso-wrap-distance-left:0.00pt;mso-wrap-distance-top:0.00pt;mso-wrap-distance-right:0.00pt;mso-wrap-distance-bottom:0.00pt;" stroked="false">
                <v:path textboxrect="0,0,0,0"/>
                <v:imagedata r:id="rId47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Рисунок Д 4 - Исполнительная схема по монтажу оконных блоков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161780" cy="5153638"/>
                <wp:effectExtent l="0" t="0" r="0" b="0"/>
                <wp:docPr id="19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376674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9161778" cy="5153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721.40pt;height:405.80pt;mso-wrap-distance-left:0.00pt;mso-wrap-distance-top:0.00pt;mso-wrap-distance-right:0.00pt;mso-wrap-distance-bottom:0.00pt;" stroked="false">
                <v:path textboxrect="0,0,0,0"/>
                <v:imagedata r:id="rId48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Рисунок Д 5 - Исполнительная схема по монтажу устройства фасада</w:t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  <w:r>
        <w:rPr>
          <w:rFonts w:eastAsia="Arial" w:asciiTheme="majorHAnsi" w:hAnsiTheme="majorHAnsi" w:cstheme="majorHAnsi"/>
          <w:color w:val="000000"/>
          <w:sz w:val="28"/>
          <w:szCs w:val="28"/>
        </w:rPr>
      </w:r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8722885" cy="4906752"/>
                <wp:effectExtent l="0" t="0" r="0" b="0"/>
                <wp:docPr id="20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84114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8722884" cy="49067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686.84pt;height:386.36pt;mso-wrap-distance-left:0.00pt;mso-wrap-distance-top:0.00pt;mso-wrap-distance-right:0.00pt;mso-wrap-distance-bottom:0.00pt;" stroked="false">
                <v:path textboxrect="0,0,0,0"/>
                <v:imagedata r:id="rId49" o:title=""/>
              </v:shape>
            </w:pict>
          </mc:Fallback>
        </mc:AlternateContent>
      </w: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Рисунок Д 6 - Исполнительная схема по монтажу устройства вентиляции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161780" cy="5153638"/>
                <wp:effectExtent l="0" t="0" r="0" b="0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05410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9161778" cy="5153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721.40pt;height:405.80pt;mso-wrap-distance-left:0.00pt;mso-wrap-distance-top:0.00pt;mso-wrap-distance-right:0.00pt;mso-wrap-distance-bottom:0.00pt;" stroked="false">
                <v:path textboxrect="0,0,0,0"/>
                <v:imagedata r:id="rId50" o:title=""/>
              </v:shape>
            </w:pict>
          </mc:Fallback>
        </mc:AlternateContent>
      </w:r>
      <w:r/>
    </w:p>
    <w:p>
      <w:r/>
      <w:r/>
    </w:p>
    <w:p>
      <w:pPr>
        <w:jc w:val="center"/>
      </w:pPr>
      <w:r>
        <w:rPr>
          <w:rFonts w:eastAsia="Arial" w:asciiTheme="majorHAnsi" w:hAnsiTheme="majorHAnsi" w:cstheme="majorHAnsi"/>
          <w:color w:val="000000"/>
          <w:sz w:val="28"/>
          <w:szCs w:val="28"/>
        </w:rPr>
        <w:t xml:space="preserve">Рисунок Д 7 - Исполнительная схема по монтажу отопительных приборов</w:t>
      </w:r>
      <w:r/>
    </w:p>
    <w:p>
      <w:pPr>
        <w:rPr>
          <w:rStyle w:val="1453"/>
          <w:rFonts w:asciiTheme="majorHAnsi" w:hAnsiTheme="majorHAnsi" w:cstheme="majorHAnsi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276" w:right="1276" w:bottom="992" w:left="1134" w:header="709" w:footer="709" w:gutter="0"/>
          <w:cols w:num="1" w:sep="0" w:space="708" w:equalWidth="1"/>
          <w:docGrid w:linePitch="360"/>
        </w:sectPr>
      </w:pPr>
      <w:r>
        <w:rPr>
          <w:rFonts w:asciiTheme="majorHAnsi" w:hAnsiTheme="majorHAnsi" w:cstheme="majorHAnsi"/>
          <w:sz w:val="28"/>
          <w:szCs w:val="28"/>
        </w:rPr>
      </w:r>
      <w:r>
        <w:rPr>
          <w:rStyle w:val="1453"/>
          <w:rFonts w:asciiTheme="majorHAnsi" w:hAnsiTheme="majorHAnsi" w:cstheme="majorHAnsi"/>
          <w:sz w:val="28"/>
          <w:szCs w:val="28"/>
        </w:rPr>
      </w:r>
      <w:r>
        <w:rPr>
          <w:rStyle w:val="1453"/>
          <w:rFonts w:asciiTheme="majorHAnsi" w:hAnsiTheme="majorHAnsi" w:cstheme="majorHAnsi"/>
          <w:sz w:val="28"/>
          <w:szCs w:val="28"/>
        </w:rPr>
      </w:r>
    </w:p>
    <w:p>
      <w:pPr>
        <w:pStyle w:val="1135"/>
        <w:numPr>
          <w:ilvl w:val="0"/>
          <w:numId w:val="0"/>
        </w:numPr>
        <w:rPr>
          <w:rStyle w:val="1453"/>
          <w:rFonts w:asciiTheme="majorHAnsi" w:hAnsiTheme="majorHAnsi" w:cstheme="majorHAnsi"/>
          <w:color w:val="auto"/>
          <w:sz w:val="28"/>
          <w:szCs w:val="28"/>
        </w:rPr>
      </w:pPr>
      <w:r/>
      <w:bookmarkStart w:id="36" w:name="_Toc223350020"/>
      <w:r>
        <w:rPr>
          <w:rStyle w:val="1453"/>
          <w:rFonts w:asciiTheme="majorHAnsi" w:hAnsiTheme="majorHAnsi" w:cstheme="majorHAnsi"/>
          <w:bCs/>
          <w:color w:val="000000"/>
          <w:sz w:val="28"/>
          <w:szCs w:val="28"/>
        </w:rPr>
        <w:t xml:space="preserve">Приложение Е (справочное)</w:t>
      </w:r>
      <w:r>
        <w:rPr>
          <w:rStyle w:val="1453"/>
          <w:rFonts w:asciiTheme="majorHAnsi" w:hAnsiTheme="majorHAnsi" w:cstheme="majorHAnsi"/>
          <w:bCs/>
          <w:color w:val="000000"/>
          <w:sz w:val="28"/>
          <w:szCs w:val="28"/>
        </w:rPr>
        <w:br/>
      </w:r>
      <w:r>
        <w:rPr>
          <w:rStyle w:val="1453"/>
          <w:rFonts w:asciiTheme="majorHAnsi" w:hAnsiTheme="majorHAnsi" w:cstheme="majorHAnsi"/>
          <w:bCs/>
          <w:color w:val="auto"/>
          <w:sz w:val="28"/>
        </w:rPr>
        <w:t xml:space="preserve">Акт о приемке исполнительной ЦИМ ОКС</w:t>
      </w:r>
      <w:bookmarkEnd w:id="36"/>
      <w:r>
        <w:rPr>
          <w:rStyle w:val="1453"/>
          <w:rFonts w:asciiTheme="majorHAnsi" w:hAnsiTheme="majorHAnsi" w:cstheme="majorHAnsi"/>
          <w:bCs/>
          <w:color w:val="auto"/>
          <w:sz w:val="28"/>
        </w:rPr>
        <w:t xml:space="preserve"> </w:t>
      </w:r>
      <w:r>
        <w:rPr>
          <w:rStyle w:val="1453"/>
          <w:rFonts w:asciiTheme="majorHAnsi" w:hAnsiTheme="majorHAnsi" w:cstheme="majorHAnsi"/>
          <w:color w:val="auto"/>
          <w:sz w:val="28"/>
          <w:szCs w:val="28"/>
        </w:rPr>
      </w:r>
      <w:r>
        <w:rPr>
          <w:rStyle w:val="1453"/>
          <w:rFonts w:asciiTheme="majorHAnsi" w:hAnsiTheme="majorHAnsi" w:cstheme="majorHAnsi"/>
          <w:color w:val="auto"/>
          <w:sz w:val="28"/>
          <w:szCs w:val="28"/>
        </w:rPr>
      </w:r>
    </w:p>
    <w:p>
      <w:r/>
      <w:r/>
    </w:p>
    <w:p>
      <w:r/>
      <w:r/>
    </w:p>
    <w:p>
      <w:pPr>
        <w:contextualSpacing/>
        <w:ind w:right="-2" w:firstLine="709"/>
        <w:jc w:val="center"/>
        <w:spacing w:line="360" w:lineRule="auto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  <w:t xml:space="preserve">Акт о приемке исполнительной ЦИМ ОКС №____________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  <w:tab/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</w:r>
    </w:p>
    <w:p>
      <w:pPr>
        <w:contextualSpacing/>
        <w:jc w:val="both"/>
        <w:spacing w:after="200" w:line="23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«___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_»_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_____________г.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ab/>
        <w:t xml:space="preserve">     ________________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right="-2" w:firstLine="709"/>
        <w:jc w:val="both"/>
        <w:spacing w:after="200" w:line="23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lang w:eastAsia="ru-RU"/>
        </w:rPr>
        <w:t xml:space="preserve">                                                                                                                     (место составления) 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right="-2" w:firstLine="709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контроля:_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____________________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</w:p>
    <w:p>
      <w:pPr>
        <w:contextualSpacing/>
        <w:ind w:right="-2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__________________________________________________________________________________________________________________________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color w:val="000000"/>
          <w:sz w:val="21"/>
          <w:szCs w:val="21"/>
          <w:lang w:eastAsia="ru-RU"/>
        </w:rPr>
      </w:pPr>
      <w:r>
        <w:rPr>
          <w:rFonts w:asciiTheme="majorHAnsi" w:hAnsiTheme="majorHAnsi" w:cstheme="majorHAnsi"/>
          <w:color w:val="000000"/>
          <w:sz w:val="21"/>
          <w:szCs w:val="21"/>
          <w:lang w:eastAsia="ru-RU"/>
        </w:rPr>
        <w:t xml:space="preserve">(должность (при наличии), фамилия, инициалы, идентификационный номер в национальном реестре специалистов в области строительства)</w:t>
      </w:r>
      <w:r>
        <w:rPr>
          <w:rFonts w:asciiTheme="majorHAnsi" w:hAnsiTheme="majorHAnsi" w:cstheme="majorHAnsi"/>
          <w:color w:val="000000"/>
          <w:sz w:val="21"/>
          <w:szCs w:val="21"/>
          <w:lang w:eastAsia="ru-RU"/>
        </w:rPr>
      </w:r>
      <w:r>
        <w:rPr>
          <w:rFonts w:asciiTheme="majorHAnsi" w:hAnsiTheme="majorHAnsi" w:cstheme="majorHAnsi"/>
          <w:color w:val="000000"/>
          <w:sz w:val="21"/>
          <w:szCs w:val="21"/>
          <w:lang w:eastAsia="ru-RU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______________________________________________________________________________________________________________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lang w:eastAsia="ru-RU"/>
        </w:rPr>
        <w:t xml:space="preserve">(реквизиты распорядитель</w:t>
      </w:r>
      <w:r>
        <w:rPr>
          <w:rFonts w:asciiTheme="majorHAnsi" w:hAnsiTheme="majorHAnsi" w:cstheme="majorHAnsi"/>
          <w:color w:val="000000"/>
          <w:lang w:eastAsia="ru-RU"/>
        </w:rPr>
        <w:t xml:space="preserve">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 (в случае осуществления строительного контроля на основании договора с застройщиком или т</w:t>
      </w:r>
      <w:r>
        <w:rPr>
          <w:rFonts w:asciiTheme="majorHAnsi" w:hAnsiTheme="majorHAnsi" w:cstheme="majorHAnsi"/>
          <w:color w:val="000000"/>
          <w:lang w:eastAsia="ru-RU"/>
        </w:rPr>
        <w:t xml:space="preserve">ехническим заказчиком), фамилии, имени, отчества (последнее -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right="-2" w:firstLine="709"/>
        <w:jc w:val="both"/>
        <w:spacing w:line="360" w:lineRule="auto"/>
        <w:rPr>
          <w:rFonts w:asciiTheme="majorHAnsi" w:hAnsiTheme="majorHAnsi" w:cstheme="majorHAnsi"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Представитель лица, осуществляющего строительство:_________________________________________________________________________________________________________________________________________________________________________________________________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1"/>
          <w:szCs w:val="21"/>
          <w:lang w:eastAsia="ru-RU"/>
        </w:rPr>
        <w:t xml:space="preserve">(должность (при наличии), фамилия, инициалы, реквизиты распорядительного документа, подтверждающего полномочия)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right="-2"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Представитель лица, осуществляющего подготовку проектной документации (в случае привлечения застройщиком лица, 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о кодекса Российской Федерации):________________________________________________________________________________________________________________________________________________________________________________________________________________________________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lang w:eastAsia="ru-RU"/>
        </w:rPr>
        <w:t xml:space="preserve">(должность (при наличии), фамилия, инициалы, реквизиты распорядительного документа, подтверждающего по</w:t>
      </w:r>
      <w:r>
        <w:rPr>
          <w:rFonts w:asciiTheme="majorHAnsi" w:hAnsiTheme="majorHAnsi" w:cstheme="majorHAnsi"/>
          <w:color w:val="000000"/>
          <w:lang w:eastAsia="ru-RU"/>
        </w:rPr>
        <w:t xml:space="preserve">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- при наличии), адреса места жительства, ОГРНИП, ИНН индивидуального предпринимателя) 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right="-2"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Объект капитального 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строительства:_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______________________________________________________________________________________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right="-2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right="-2"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lang w:eastAsia="ru-RU"/>
        </w:rPr>
        <w:t xml:space="preserve">(наименование объекта капитального строительства, адрес объекта)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line="360" w:lineRule="auto"/>
        <w:tabs>
          <w:tab w:val="num" w:pos="426" w:leader="none"/>
          <w:tab w:val="clear" w:pos="720" w:leader="none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Настоящий акт подтверждает приемку исполнительной цифровой информационной модели объекта капитального строительства (ЦИМ ОКС), разработанной _____________________________</w:t>
      </w:r>
      <w:r>
        <w:rPr>
          <w:rFonts w:asciiTheme="majorHAnsi" w:hAnsiTheme="majorHAnsi" w:cstheme="majorHAnsi"/>
          <w:color w:val="000000"/>
          <w:lang w:eastAsia="ru-RU"/>
        </w:rPr>
        <w:t xml:space="preserve">(наименование организации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 </w:t>
      </w:r>
      <w:r>
        <w:rPr>
          <w:rFonts w:asciiTheme="majorHAnsi" w:hAnsiTheme="majorHAnsi" w:cstheme="majorHAnsi"/>
          <w:color w:val="000000"/>
          <w:lang w:eastAsia="ru-RU"/>
        </w:rPr>
        <w:t xml:space="preserve">подрядчика)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 в соответствии с требованиями_________________________ </w:t>
      </w:r>
      <w:r>
        <w:rPr>
          <w:rFonts w:asciiTheme="majorHAnsi" w:hAnsiTheme="majorHAnsi" w:cstheme="majorHAnsi"/>
          <w:color w:val="000000"/>
          <w:lang w:eastAsia="ru-RU"/>
        </w:rPr>
        <w:t xml:space="preserve">(номер и дата технического задания, договора и т.д.)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line="360" w:lineRule="auto"/>
        <w:tabs>
          <w:tab w:val="num" w:pos="426" w:leader="none"/>
          <w:tab w:val="clear" w:pos="720" w:leader="none"/>
        </w:tabs>
        <w:rPr>
          <w:rFonts w:asciiTheme="majorHAnsi" w:hAnsiTheme="majorHAnsi" w:cstheme="majorHAnsi"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ЦИМ ОКС: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  <w:t xml:space="preserve">Согласована с проектными решениями, отраженными в проектной документации: 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[Номер и дата проекта]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  <w:t xml:space="preserve">Соответствует техническому заданию: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 [Номер и дата технического задания]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  <w:t xml:space="preserve">Соответствует нормативным документам: 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[Перечень нормативных документов, например, ГОСТ, СП и т.д.]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  <w:t xml:space="preserve">Соответствует требованиям к атрибутивному составу элементов. 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  <w:lang w:eastAsia="ru-RU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line="360" w:lineRule="auto"/>
        <w:tabs>
          <w:tab w:val="num" w:pos="426" w:leader="none"/>
          <w:tab w:val="clear" w:pos="720" w:leader="none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Результаты проверки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after="200" w:line="23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Виды проверок 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tbl>
      <w:tblPr>
        <w:tblStyle w:val="1458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>
        <w:tblPrEx/>
        <w:trPr>
          <w:trHeight w:val="71"/>
        </w:trPr>
        <w:tc>
          <w:tcPr>
            <w:tcW w:w="4393" w:type="dxa"/>
            <w:textDirection w:val="lrTb"/>
            <w:noWrap w:val="false"/>
          </w:tcPr>
          <w:p>
            <w:pPr>
              <w:contextualSpacing/>
              <w:ind w:firstLine="283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Наименование проверки</w:t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contextualSpacing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Данные о проведении</w:t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1"/>
        </w:trPr>
        <w:tc>
          <w:tcPr>
            <w:tcW w:w="4393" w:type="dxa"/>
            <w:textDirection w:val="lrTb"/>
            <w:noWrap w:val="false"/>
          </w:tcPr>
          <w:p>
            <w:pPr>
              <w:contextualSpacing/>
              <w:ind w:firstLine="283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Атрибутивные проверки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rHeight w:val="322"/>
        </w:trPr>
        <w:tc>
          <w:tcPr>
            <w:tcW w:w="4393" w:type="dxa"/>
            <w:textDirection w:val="lrTb"/>
            <w:noWrap w:val="false"/>
          </w:tcPr>
          <w:p>
            <w:pPr>
              <w:contextualSpacing/>
              <w:ind w:firstLine="283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Нормативные проверки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rHeight w:val="522"/>
        </w:trPr>
        <w:tc>
          <w:tcPr>
            <w:tcW w:w="4393" w:type="dxa"/>
            <w:textDirection w:val="lrTb"/>
            <w:noWrap w:val="false"/>
          </w:tcPr>
          <w:p>
            <w:pPr>
              <w:contextualSpacing/>
              <w:ind w:firstLine="283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Проверки на коллизии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</w:tbl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after="200" w:line="23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В ходе проверки ЦИМ ОКС были выявлены следующие результаты: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tbl>
      <w:tblPr>
        <w:tblStyle w:val="1458"/>
        <w:tblW w:w="0" w:type="auto"/>
        <w:tblLook w:val="04A0" w:firstRow="1" w:lastRow="0" w:firstColumn="1" w:lastColumn="0" w:noHBand="0" w:noVBand="1"/>
      </w:tblPr>
      <w:tblGrid>
        <w:gridCol w:w="3821"/>
        <w:gridCol w:w="2691"/>
        <w:gridCol w:w="3116"/>
      </w:tblGrid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contextualSpacing/>
              <w:ind w:firstLine="283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Критерий проверки</w:t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ind w:firstLine="142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Результат</w:t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contextualSpacing/>
              <w:ind w:firstLine="142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Комментарий</w:t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contextualSpacing/>
              <w:ind w:firstLine="283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Полнота данных 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ind w:firstLine="14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contextualSpacing/>
              <w:ind w:firstLine="14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contextualSpacing/>
              <w:ind w:firstLine="283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Точность модели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ind w:firstLine="14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contextualSpacing/>
              <w:ind w:firstLine="14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contextualSpacing/>
              <w:ind w:firstLine="283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Актуальность данных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ind w:firstLine="14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contextualSpacing/>
              <w:ind w:firstLine="14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</w:tbl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line="360" w:lineRule="auto"/>
        <w:tabs>
          <w:tab w:val="num" w:pos="426" w:leader="none"/>
          <w:tab w:val="clear" w:pos="720" w:leader="none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Результаты лазерного сканирования и план-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фактного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 анализа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tbl>
      <w:tblPr>
        <w:tblStyle w:val="1458"/>
        <w:tblW w:w="0" w:type="auto"/>
        <w:tblLook w:val="04A0" w:firstRow="1" w:lastRow="0" w:firstColumn="1" w:lastColumn="0" w:noHBand="0" w:noVBand="1"/>
      </w:tblPr>
      <w:tblGrid>
        <w:gridCol w:w="4391"/>
        <w:gridCol w:w="5237"/>
      </w:tblGrid>
      <w:tr>
        <w:tblPrEx/>
        <w:trPr/>
        <w:tc>
          <w:tcPr>
            <w:tcW w:w="439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Критерий проверки </w:t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</w:p>
        </w:tc>
        <w:tc>
          <w:tcPr>
            <w:tcW w:w="5241" w:type="dxa"/>
            <w:textDirection w:val="lrTb"/>
            <w:noWrap w:val="false"/>
          </w:tcPr>
          <w:p>
            <w:pPr>
              <w:contextualSpacing/>
              <w:ind w:firstLine="283"/>
              <w:jc w:val="center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Результат </w:t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4393" w:type="dxa"/>
            <w:textDirection w:val="lrTb"/>
            <w:noWrap w:val="false"/>
          </w:tcPr>
          <w:p>
            <w:pPr>
              <w:contextualSpacing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Соответствие построенного объекта проектной (рабочей) ЦИМ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5241" w:type="dxa"/>
            <w:textDirection w:val="lrTb"/>
            <w:noWrap w:val="false"/>
          </w:tcPr>
          <w:p>
            <w:pPr>
              <w:contextualSpacing/>
              <w:ind w:firstLine="283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4393" w:type="dxa"/>
            <w:textDirection w:val="lrTb"/>
            <w:noWrap w:val="false"/>
          </w:tcPr>
          <w:p>
            <w:pPr>
              <w:contextualSpacing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Устранение несоответствий техническим регламентам и проектной (рабочей) ЦИМ по результатам лазерного сканирования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5241" w:type="dxa"/>
            <w:textDirection w:val="lrTb"/>
            <w:noWrap w:val="false"/>
          </w:tcPr>
          <w:p>
            <w:pPr>
              <w:contextualSpacing/>
              <w:ind w:firstLine="283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</w:tbl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line="360" w:lineRule="auto"/>
        <w:tabs>
          <w:tab w:val="num" w:pos="426" w:leader="none"/>
          <w:tab w:val="clear" w:pos="720" w:leader="none"/>
        </w:tabs>
        <w:rPr>
          <w:rFonts w:asciiTheme="majorHAnsi" w:hAnsiTheme="majorHAnsi" w:cstheme="majorHAnsi"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Результаты формирования КСГ на основе исполнительной ЦИМ ОКС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</w:p>
    <w:tbl>
      <w:tblPr>
        <w:tblW w:w="9639" w:type="dxa"/>
        <w:tblCellSpacing w:w="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002"/>
        <w:gridCol w:w="6086"/>
        <w:gridCol w:w="2551"/>
      </w:tblGrid>
      <w:tr>
        <w:tblPrEx/>
        <w:trPr>
          <w:tblCellSpacing w:w="0" w:type="dxa"/>
        </w:trPr>
        <w:tc>
          <w:tcPr>
            <w:shd w:val="clear" w:color="auto" w:fill="d0cec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№ п/п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shd w:val="clear" w:color="auto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Наименование этапа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shd w:val="clear" w:color="auto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Отметка о выполнении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Подготовка ЦИМ ОКС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1.1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Подготовка ЦИМ ОКС раздела «Архитектурные решения»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1.2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Подготовка ЦИМ ОКС раздела «Конструктивные решения»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1.3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Подготовка ЦИМ ОКС раздела «Инженерное оборудование и сети»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1.4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Подготовка ЦИМ ОКС раздела «Технологические решения»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Подготовка КСГ с проектными работами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2.1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Подготовка КСГ с проектными работами раздела «Архитектурные решения»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2.2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Подготовка КСГ с проектными работами раздела «Конструктивные решения»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2.3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Подготовка КСГ с проектными работами раздела «Инженерное оборудование и сети»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2.4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Подготовка КСГ с проектными работами раздела «Технологические решения»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3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Привязка элементов ЦИМ ОКС к работам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3.1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Привязка элементов ЦИМ ОКС к работам раздела «Архитектурные решения»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3.2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Привязка элементов ЦИМ ОКС к работам раздела «Конструктивные решения»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3.3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Привязка элементов ЦИМ ОКС к работам раздела «Инженерное оборудование и сети»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3.4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eastAsia="ru-RU"/>
              </w:rPr>
              <w:t xml:space="preserve">Привязка элементов ЦИМ ОКС к работам раздела «Технологические решения»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4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608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Обновление и поддержание актуальности 4D-модели по каждому из разделов: актуализация фактических сроков в КСГ и актуализация выполнения элементов в 4D-модели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  <w:lang w:eastAsia="ru-RU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</w:tbl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line="360" w:lineRule="auto"/>
        <w:tabs>
          <w:tab w:val="num" w:pos="426" w:leader="none"/>
          <w:tab w:val="clear" w:pos="720" w:leader="none"/>
        </w:tabs>
        <w:rPr>
          <w:rFonts w:asciiTheme="majorHAnsi" w:hAnsiTheme="majorHAnsi" w:cstheme="majorHAnsi"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Наличие документов, сведений и материалов исполнительной документации, сформированных на основе ЦИМ.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</w:p>
    <w:tbl>
      <w:tblPr>
        <w:tblStyle w:val="1458"/>
        <w:tblW w:w="9634" w:type="dxa"/>
        <w:tblLook w:val="04A0" w:firstRow="1" w:lastRow="0" w:firstColumn="1" w:lastColumn="0" w:noHBand="0" w:noVBand="1"/>
      </w:tblPr>
      <w:tblGrid>
        <w:gridCol w:w="5240"/>
        <w:gridCol w:w="4394"/>
      </w:tblGrid>
      <w:tr>
        <w:tblPrEx/>
        <w:trPr/>
        <w:tc>
          <w:tcPr>
            <w:tcW w:w="5240" w:type="dxa"/>
            <w:textDirection w:val="lrTb"/>
            <w:noWrap w:val="false"/>
          </w:tcPr>
          <w:p>
            <w:pPr>
              <w:contextualSpacing/>
              <w:ind w:firstLine="29"/>
              <w:jc w:val="both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Наименование документа</w:t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Отметка о наличии документов</w:t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240" w:type="dxa"/>
            <w:textDirection w:val="lrTb"/>
            <w:noWrap w:val="false"/>
          </w:tcPr>
          <w:p>
            <w:pPr>
              <w:contextualSpacing/>
              <w:ind w:firstLine="29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ВОР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ind w:right="741" w:firstLine="709"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/>
        <w:tc>
          <w:tcPr>
            <w:tcW w:w="5240" w:type="dxa"/>
            <w:textDirection w:val="lrTb"/>
            <w:noWrap w:val="false"/>
          </w:tcPr>
          <w:p>
            <w:pPr>
              <w:contextualSpacing/>
              <w:ind w:firstLine="29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КСГ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ind w:right="741" w:firstLine="709"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  <w:tr>
        <w:tblPrEx/>
        <w:trPr/>
        <w:tc>
          <w:tcPr>
            <w:tcW w:w="5240" w:type="dxa"/>
            <w:textDirection w:val="lrTb"/>
            <w:noWrap w:val="false"/>
          </w:tcPr>
          <w:p>
            <w:pPr>
              <w:contextualSpacing/>
              <w:ind w:firstLine="29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Исполнительные схемы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ind w:right="741" w:firstLine="709"/>
              <w:jc w:val="center"/>
              <w:spacing w:after="120" w:line="85" w:lineRule="atLeas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8"/>
                <w:szCs w:val="28"/>
              </w:rPr>
              <w:t xml:space="preserve">☑</w:t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  <w:r>
              <w:rPr>
                <w:rFonts w:asciiTheme="majorHAnsi" w:hAnsiTheme="majorHAnsi" w:cstheme="majorHAnsi"/>
                <w:sz w:val="24"/>
                <w:szCs w:val="24"/>
              </w:rPr>
            </w:r>
          </w:p>
        </w:tc>
      </w:tr>
    </w:tbl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line="360" w:lineRule="auto"/>
        <w:tabs>
          <w:tab w:val="num" w:pos="426" w:leader="none"/>
          <w:tab w:val="clear" w:pos="720" w:leader="none"/>
        </w:tabs>
        <w:rPr>
          <w:rFonts w:asciiTheme="majorHAnsi" w:hAnsiTheme="majorHAnsi" w:cstheme="majorHAnsi"/>
          <w:color w:val="000000"/>
          <w:sz w:val="28"/>
          <w:szCs w:val="28"/>
          <w:lang w:eastAsia="ru-RU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Заключение 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Исполнительная ЦИМ ОКС признана согласованно</w:t>
      </w: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й с проектными решениями, отраженным в проектной документации, соответствующей требованиям технического задания и нормативным документам. Исполнительная ЦИМ ОКС принята заказчиком и готова к использованию для дальнейшей эксплуатации и обслуживания объекта.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eastAsia="ru-RU"/>
        </w:rPr>
        <w:t xml:space="preserve"> 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8"/>
          <w:szCs w:val="28"/>
          <w:lang w:eastAsia="ru-RU"/>
        </w:rPr>
        <w:t xml:space="preserve">Подписи сторон:</w:t>
      </w:r>
      <w:r>
        <w:rPr>
          <w:rFonts w:asciiTheme="majorHAnsi" w:hAnsiTheme="majorHAnsi" w:cstheme="majorHAnsi"/>
          <w:sz w:val="24"/>
          <w:szCs w:val="24"/>
        </w:rPr>
      </w:r>
      <w:r>
        <w:rPr>
          <w:rFonts w:asciiTheme="majorHAnsi" w:hAnsiTheme="majorHAnsi" w:cstheme="majorHAnsi"/>
          <w:sz w:val="24"/>
          <w:szCs w:val="24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sz w:val="28"/>
          <w:szCs w:val="28"/>
        </w:rPr>
        <w:sectPr>
          <w:footnotePr/>
          <w:endnotePr>
            <w:numFmt w:val="decimal"/>
          </w:endnotePr>
          <w:type w:val="nextPage"/>
          <w:pgSz w:w="11906" w:h="16838" w:orient="portrait"/>
          <w:pgMar w:top="1276" w:right="992" w:bottom="1134" w:left="1276" w:header="709" w:footer="709" w:gutter="0"/>
          <w:cols w:num="1" w:sep="0" w:space="708" w:equalWidth="1"/>
          <w:docGrid w:linePitch="360"/>
        </w:sectPr>
      </w:pP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  <w:r>
        <w:rPr>
          <w:rFonts w:asciiTheme="majorHAnsi" w:hAnsiTheme="majorHAnsi" w:cstheme="majorHAnsi"/>
          <w:sz w:val="28"/>
          <w:szCs w:val="28"/>
        </w:rPr>
      </w:r>
    </w:p>
    <w:p>
      <w:pPr>
        <w:pStyle w:val="1135"/>
        <w:numPr>
          <w:ilvl w:val="0"/>
          <w:numId w:val="0"/>
        </w:numPr>
        <w:contextualSpacing/>
        <w:spacing w:before="0" w:after="113" w:line="480" w:lineRule="atLeast"/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37" w:name="_Toc223350021"/>
      <w:r>
        <w:rPr>
          <w:rFonts w:eastAsia="Arial" w:asciiTheme="majorHAnsi" w:hAnsiTheme="majorHAnsi" w:cstheme="majorHAnsi"/>
          <w:color w:val="000000"/>
          <w:sz w:val="28"/>
        </w:rPr>
        <w:t xml:space="preserve">Приложение Ж (справочное)</w:t>
      </w:r>
      <w:r>
        <w:rPr>
          <w:rFonts w:eastAsia="Arial" w:asciiTheme="majorHAnsi" w:hAnsiTheme="majorHAnsi" w:cstheme="majorHAnsi"/>
          <w:color w:val="000000"/>
          <w:sz w:val="28"/>
        </w:rPr>
        <w:br/>
        <w:t xml:space="preserve">Принципы группировки элементов ЦИМ ОКС в соответствии </w:t>
      </w:r>
      <w:r>
        <w:rPr>
          <w:rFonts w:eastAsia="Arial" w:asciiTheme="majorHAnsi" w:hAnsiTheme="majorHAnsi" w:cstheme="majorHAnsi"/>
          <w:color w:val="000000"/>
          <w:sz w:val="28"/>
        </w:rPr>
        <w:br/>
        <w:t xml:space="preserve">с базовыми процессами ведения исполнительной ЦИМ ОКС</w:t>
      </w:r>
      <w:bookmarkEnd w:id="37"/>
      <w:r>
        <w:rPr>
          <w:rFonts w:eastAsia="Arial" w:asciiTheme="majorHAnsi" w:hAnsiTheme="majorHAnsi" w:cstheme="majorHAnsi"/>
          <w:color w:val="000000"/>
          <w:sz w:val="28"/>
        </w:rPr>
        <w:t xml:space="preserve"> </w:t>
      </w:r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Style w:val="1172"/>
        <w:tblW w:w="0" w:type="auto"/>
        <w:tblInd w:w="-567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09"/>
        <w:gridCol w:w="2409"/>
        <w:gridCol w:w="4110"/>
      </w:tblGrid>
      <w:tr>
        <w:tblPrEx/>
        <w:trPr>
          <w:tblHeader/>
        </w:trPr>
        <w:tc>
          <w:tcPr>
            <w:shd w:val="clear" w:color="d0cece" w:fill="d0cec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20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4"/>
              </w:rPr>
              <w:t xml:space="preserve">№ п/п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240" w:after="20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4"/>
              </w:rPr>
              <w:t xml:space="preserve">Наименование базового процесса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240" w:after="20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4"/>
              </w:rPr>
              <w:t xml:space="preserve">Наборы атрибутивных данных элементов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4"/>
              </w:rPr>
              <w:t xml:space="preserve">Принципы группировки элементов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</w:tr>
      <w:tr>
        <w:tblPrEx/>
        <w:trPr>
          <w:trHeight w:val="483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1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Формирование данных для разработки календарного плана на основе ЦИМ ОКС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Геометрия;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Местоположение;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Общие параметры;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Строительные параметры;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Сметные параметры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pStyle w:val="1157"/>
              <w:numPr>
                <w:ilvl w:val="0"/>
                <w:numId w:val="34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категории элемента;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4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br/>
              <w:t xml:space="preserve">к зданию;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4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br/>
              <w:t xml:space="preserve">к уровню;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4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названию уровня;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4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дисциплинарному параметру;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4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параметру этажа;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4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материалу;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4"/>
              </w:numPr>
              <w:ind w:left="0" w:firstLine="0"/>
              <w:rPr>
                <w:rFonts w:eastAsia="Arial" w:asciiTheme="majorHAnsi" w:hAnsiTheme="majorHAnsi" w:cstheme="majorHAnsi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технической характеристике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</w:p>
        </w:tc>
      </w:tr>
      <w:tr>
        <w:tblPrEx/>
        <w:trPr>
          <w:trHeight w:val="5570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2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Контроль хода строительства на основе данных ЦИМ ОКС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Геометрия;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Местоположение;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Общие параметры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Строительные параметры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pStyle w:val="1157"/>
              <w:numPr>
                <w:ilvl w:val="0"/>
                <w:numId w:val="35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категории элемента;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5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br/>
              <w:t xml:space="preserve">к зданию;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5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br/>
              <w:t xml:space="preserve">к уровню;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5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названию уровня;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5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дисциплинарному параметру;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5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параметру этажа;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5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марке элемента;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5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материалу;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5"/>
              </w:numPr>
              <w:ind w:left="0" w:firstLine="0"/>
              <w:rPr>
                <w:rFonts w:eastAsia="Arial" w:asciiTheme="majorHAnsi" w:hAnsiTheme="majorHAnsi" w:cstheme="majorHAnsi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технической характеристике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</w:p>
        </w:tc>
      </w:tr>
      <w:tr>
        <w:tblPrEx/>
        <w:trPr>
          <w:trHeight w:val="483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3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Ведение исполнительной документации на основе данных ЦИМ ОКС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Геометрия;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Местоположение;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Общие параметры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Строительные параметры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pStyle w:val="1157"/>
              <w:numPr>
                <w:ilvl w:val="0"/>
                <w:numId w:val="36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категории элемента;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6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к зданию;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6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к уровню;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6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названию уровня;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6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дисциплинарному параметру;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6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параметру этажа;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6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материалу;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6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технической характеристике;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6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марке элемента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</w:tr>
      <w:tr>
        <w:tblPrEx/>
        <w:trPr>
          <w:trHeight w:val="483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4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Формирование сведений для подготовки ЗОС на основе данных из ЦИМ ОКС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Геометрия;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Местоположение;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Общие параметры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категории элемента;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к зданию;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к уровню;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названию уровня;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дисциплинарному параметру;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параметру этажа;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марке элемента;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материалу;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технической характеристике;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2"/>
              </w:numPr>
              <w:ind w:left="0" w:firstLine="0"/>
              <w:rPr>
                <w:rFonts w:asciiTheme="majorHAnsi" w:hAnsiTheme="majorHAnsi" w:cstheme="majorHAnsi"/>
              </w:rP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эксплуатационной характеристике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483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5</w:t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Формирование сведений для подготовки разрешения на ввод в эксплуатацию на основе данных из ЦИМ ОКС</w:t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Геометрия;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Местоположение;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jc w:val="both"/>
              <w:spacing w:line="65" w:lineRule="atLeast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pacing w:val="-4"/>
                <w:sz w:val="24"/>
                <w:szCs w:val="24"/>
              </w:rPr>
              <w:t xml:space="preserve">Общие параметры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0" w:type="dxa"/>
            <w:vAlign w:val="center"/>
            <w:textDirection w:val="lrTb"/>
            <w:noWrap w:val="false"/>
          </w:tcPr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категории элемента;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к зданию;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принадлежности к уровню;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названию уровня;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дисциплинарному параметру;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параметру этажа;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марке элемента;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материалу;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технической характеристике;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pStyle w:val="1157"/>
              <w:numPr>
                <w:ilvl w:val="0"/>
                <w:numId w:val="33"/>
              </w:numPr>
              <w:ind w:left="0" w:firstLine="0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4"/>
              </w:rPr>
              <w:t xml:space="preserve">По эксплуатационной характеристике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</w:tr>
    </w:tbl>
    <w:p>
      <w:pPr>
        <w:pStyle w:val="1135"/>
        <w:numPr>
          <w:ilvl w:val="0"/>
          <w:numId w:val="0"/>
        </w:numPr>
        <w:contextualSpacing/>
        <w:pageBreakBefore/>
        <w:rPr>
          <w:rFonts w:eastAsia="Arial" w:asciiTheme="majorHAnsi" w:hAnsiTheme="majorHAnsi" w:cstheme="majorHAnsi"/>
          <w:color w:val="000000"/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38" w:name="_Toc223350022"/>
      <w:r>
        <w:rPr>
          <w:rFonts w:eastAsia="Arial" w:asciiTheme="majorHAnsi" w:hAnsiTheme="majorHAnsi" w:cstheme="majorHAnsi"/>
          <w:color w:val="000000"/>
          <w:sz w:val="28"/>
        </w:rPr>
        <w:t xml:space="preserve">Приложение И (справочное)</w:t>
      </w:r>
      <w:r>
        <w:rPr>
          <w:rFonts w:eastAsia="Arial" w:asciiTheme="majorHAnsi" w:hAnsiTheme="majorHAnsi" w:cstheme="majorHAnsi"/>
          <w:color w:val="000000"/>
          <w:sz w:val="28"/>
        </w:rPr>
        <w:br/>
        <w:t xml:space="preserve"> Условия формирования поисковых наборов по принципам группировки элементов</w:t>
      </w:r>
      <w:bookmarkEnd w:id="38"/>
      <w:r>
        <w:rPr>
          <w:rFonts w:eastAsia="Arial" w:asciiTheme="majorHAnsi" w:hAnsiTheme="majorHAnsi" w:cstheme="majorHAnsi"/>
          <w:color w:val="000000"/>
          <w:sz w:val="28"/>
        </w:rPr>
      </w:r>
      <w:r>
        <w:rPr>
          <w:rFonts w:eastAsia="Arial" w:asciiTheme="majorHAnsi" w:hAnsiTheme="majorHAnsi" w:cstheme="majorHAnsi"/>
          <w:color w:val="000000"/>
          <w:sz w:val="28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Style w:val="1172"/>
        <w:tblW w:w="9922" w:type="dxa"/>
        <w:tblInd w:w="-567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560"/>
        <w:gridCol w:w="1417"/>
        <w:gridCol w:w="1285"/>
        <w:gridCol w:w="1550"/>
        <w:gridCol w:w="1134"/>
        <w:gridCol w:w="1143"/>
        <w:gridCol w:w="1276"/>
      </w:tblGrid>
      <w:tr>
        <w:tblPrEx/>
        <w:trPr>
          <w:tblHeader/>
        </w:trPr>
        <w:tc>
          <w:tcPr>
            <w:shd w:val="clear" w:color="d0cece" w:fill="d0cec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center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№ п/п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Принцип группировки элементов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Наименование поискового набора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Характеристика элемента ЦИМ ОКС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Наименование атрибута 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Условие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Значение атрибута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shd w:val="clear" w:color="d0cece" w:fill="d0cece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b/>
                <w:color w:val="000000"/>
                <w:sz w:val="22"/>
              </w:rPr>
              <w:t xml:space="preserve">Оператор совместимости условий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</w:tr>
      <w:tr>
        <w:tblPrEx/>
        <w:trPr>
          <w:trHeight w:val="1740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firstLine="709"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1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right="210"/>
              <w:jc w:val="both"/>
              <w:tabs>
                <w:tab w:val="left" w:pos="0" w:leader="none"/>
              </w:tabs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–  По принадлежности к зданию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Элементы здания XX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Номер корпуса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0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Номер корпуса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Равен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i/>
                <w:color w:val="000000"/>
                <w:sz w:val="22"/>
              </w:rPr>
              <w:t xml:space="preserve">Номер корпуса ОКС, где расположены элементы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И/ИЛИ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</w:tr>
      <w:tr>
        <w:tblPrEx/>
        <w:trPr>
          <w:trHeight w:val="1792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560" w:type="dxa"/>
            <w:vMerge w:val="continue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Номер секции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0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Номер секции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Равен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i/>
                <w:color w:val="000000"/>
                <w:sz w:val="22"/>
              </w:rPr>
              <w:t xml:space="preserve">Номер секции ОКС, где расположены элементы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710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2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contextualSpacing/>
              <w:ind w:right="210"/>
              <w:jc w:val="both"/>
              <w:tabs>
                <w:tab w:val="left" w:pos="709" w:leader="none"/>
              </w:tabs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– По принадлежности к уровню;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ind w:right="210"/>
              <w:jc w:val="both"/>
              <w:tabs>
                <w:tab w:val="left" w:pos="709" w:leader="none"/>
              </w:tabs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– По названию уровня;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  <w:p>
            <w:pPr>
              <w:contextualSpacing/>
              <w:ind w:right="210"/>
              <w:jc w:val="both"/>
              <w:tabs>
                <w:tab w:val="left" w:pos="709" w:leader="none"/>
              </w:tabs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– По параметру этажа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Элементы этажа XX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Этаж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0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Этаж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Равен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i/>
                <w:color w:val="000000"/>
                <w:sz w:val="22"/>
              </w:rPr>
              <w:t xml:space="preserve">Наименование этажа, где расположены элементы</w:t>
            </w:r>
            <w:r>
              <w:rPr>
                <w:rFonts w:asciiTheme="majorHAnsi" w:hAnsiTheme="majorHAnsi" w:cstheme="majorHAnsi"/>
                <w:sz w:val="28"/>
              </w:rPr>
            </w:r>
            <w:r>
              <w:rPr>
                <w:rFonts w:asciiTheme="majorHAnsi" w:hAnsiTheme="majorHAnsi" w:cstheme="majorHAnsi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eastAsia="Arial" w:asciiTheme="majorHAnsi" w:hAnsiTheme="majorHAnsi" w:cstheme="majorHAnsi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И</w:t>
            </w:r>
            <w:r>
              <w:rPr>
                <w:rFonts w:eastAsia="Arial" w:asciiTheme="majorHAnsi" w:hAnsiTheme="majorHAnsi" w:cstheme="majorHAnsi"/>
                <w:color w:val="000000"/>
                <w:sz w:val="22"/>
                <w:szCs w:val="22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rFonts w:asciiTheme="majorHAnsi" w:hAnsiTheme="majorHAnsi" w:cstheme="majorHAnsi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2"/>
              </w:rPr>
              <w:t xml:space="preserve">/ИЛИ</w:t>
            </w:r>
            <w:r>
              <w:rPr>
                <w:rFonts w:asciiTheme="majorHAnsi" w:hAnsiTheme="majorHAnsi" w:cstheme="majorHAnsi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sz w:val="28"/>
                <w:szCs w:val="28"/>
              </w:rPr>
            </w:r>
          </w:p>
        </w:tc>
      </w:tr>
    </w:tbl>
    <w:p>
      <w:pPr>
        <w:pStyle w:val="1135"/>
        <w:numPr>
          <w:ilvl w:val="0"/>
          <w:numId w:val="0"/>
        </w:numPr>
        <w:contextualSpacing/>
        <w:ind w:left="-425" w:firstLine="425"/>
        <w:jc w:val="both"/>
        <w:pageBreakBefore/>
        <w:rPr>
          <w:rFonts w:asciiTheme="majorHAnsi" w:hAnsiTheme="majorHAnsi" w:cstheme="majorHAns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39" w:name="_Toc223350023"/>
      <w:r>
        <w:rPr>
          <w:rFonts w:eastAsia="Arial" w:asciiTheme="majorHAnsi" w:hAnsiTheme="majorHAnsi" w:cstheme="majorHAnsi"/>
          <w:bCs/>
          <w:color w:val="1a1a1a"/>
          <w:sz w:val="28"/>
          <w:szCs w:val="28"/>
        </w:rPr>
        <w:t xml:space="preserve">Библиография</w:t>
      </w:r>
      <w:bookmarkEnd w:id="39"/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tbl>
      <w:tblPr>
        <w:tblStyle w:val="117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8233"/>
      </w:tblGrid>
      <w:tr>
        <w:tblPrEx/>
        <w:trPr>
          <w:trHeight w:val="62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[1]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82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t xml:space="preserve">Федеральный закон от 29.06.2015 г. № 162-ФЗ 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  <w:br/>
              <w:t xml:space="preserve">«О стандартизации в Российской Федерации»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62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asciiTheme="majorHAnsi" w:hAnsiTheme="majorHAnsi" w:cstheme="majorHAnsi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[2]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8233" w:type="dxa"/>
            <w:vAlign w:val="center"/>
            <w:vMerge w:val="restart"/>
            <w:textDirection w:val="lrTb"/>
            <w:noWrap w:val="false"/>
          </w:tcPr>
          <w:p>
            <w:pPr>
              <w:pStyle w:val="1447"/>
              <w:contextualSpacing/>
              <w:jc w:val="both"/>
              <w:spacing w:before="0" w:beforeAutospacing="0" w:after="0" w:afterAutospacing="0" w:line="420" w:lineRule="atLeas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Постановление Правительства РФ от 17.05.2024 № 614 «Об утверждении Правил формирования и ведения информационной модели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 объекта капитального строительства, состава сведений, документов и материалов, включаемых в информационную модель объекта капитального строительства и представляемых в форме электронных документов, и требований к форматам указанных электронных документов»</w: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</w:r>
          </w:p>
        </w:tc>
      </w:tr>
      <w:tr>
        <w:tblPrEx/>
        <w:trPr>
          <w:trHeight w:val="62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[3]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8233" w:type="dxa"/>
            <w:vAlign w:val="center"/>
            <w:vMerge w:val="restart"/>
            <w:textDirection w:val="lrTb"/>
            <w:noWrap w:val="false"/>
          </w:tcPr>
          <w:p>
            <w:pPr>
              <w:pStyle w:val="1447"/>
              <w:contextualSpacing/>
              <w:jc w:val="both"/>
              <w:spacing w:before="0" w:beforeAutospacing="0" w:after="0" w:afterAutospacing="0" w:line="420" w:lineRule="atLeast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Федеральный закон от 30.12.2009 № 384-ФЗ «Технический регламент о безопасности зданий и сооружений»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62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70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lang w:val="en-US"/>
              </w:rPr>
              <w:t xml:space="preserve">4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8233" w:type="dxa"/>
            <w:vAlign w:val="center"/>
            <w:textDirection w:val="lrTb"/>
            <w:noWrap w:val="false"/>
          </w:tcPr>
          <w:p>
            <w:pPr>
              <w:pStyle w:val="1447"/>
              <w:contextualSpacing/>
              <w:jc w:val="both"/>
              <w:spacing w:before="0" w:beforeAutospacing="0" w:after="0" w:afterAutospacing="0" w:line="420" w:lineRule="atLeast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Федеральный закон от 06.04.2011 № 63-ФЗ «Об электронной подписи»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62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line="420" w:lineRule="atLeast"/>
              <w:rPr>
                <w:rFonts w:eastAsia="Arial" w:asciiTheme="majorHAnsi" w:hAnsiTheme="majorHAnsi" w:cstheme="majorHAnsi"/>
                <w:color w:val="000000"/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[</w:t>
            </w:r>
            <w:r>
              <w:rPr>
                <w:rFonts w:eastAsia="Arial" w:asciiTheme="majorHAnsi" w:hAnsiTheme="majorHAnsi" w:cstheme="majorHAnsi"/>
                <w:color w:val="000000"/>
                <w:sz w:val="28"/>
                <w:lang w:val="en-US"/>
              </w:rPr>
              <w:t xml:space="preserve">5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  <w:t xml:space="preserve">]</w:t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  <w:r>
              <w:rPr>
                <w:rFonts w:eastAsia="Arial" w:asciiTheme="majorHAnsi" w:hAnsiTheme="majorHAnsi" w:cstheme="majorHAnsi"/>
                <w:color w:val="000000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8233" w:type="dxa"/>
            <w:vAlign w:val="center"/>
            <w:vMerge w:val="restart"/>
            <w:textDirection w:val="lrTb"/>
            <w:noWrap w:val="false"/>
          </w:tcPr>
          <w:p>
            <w:pPr>
              <w:pStyle w:val="1447"/>
              <w:contextualSpacing/>
              <w:jc w:val="both"/>
              <w:spacing w:before="0" w:beforeAutospacing="0" w:after="0" w:afterAutospacing="0" w:line="420" w:lineRule="atLeast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Градостроительный кодекс Российской Федерации от 29.12.2004 № 190-ФЗ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r>
          </w:p>
        </w:tc>
      </w:tr>
    </w:tbl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>
      <w:pPr>
        <w:contextualSpacing/>
        <w:ind w:firstLine="709"/>
        <w:jc w:val="both"/>
        <w:rPr>
          <w:rFonts w:asciiTheme="majorHAnsi" w:hAnsiTheme="majorHAnsi" w:cstheme="majorHAnsi"/>
          <w:b/>
          <w:sz w:val="36"/>
          <w:szCs w:val="36"/>
        </w:rPr>
      </w:pPr>
      <w:r>
        <w:rPr>
          <w:rFonts w:asciiTheme="majorHAnsi" w:hAnsiTheme="majorHAnsi" w:cstheme="majorHAnsi"/>
          <w:b/>
          <w:sz w:val="36"/>
          <w:szCs w:val="36"/>
        </w:rPr>
      </w:r>
      <w:r>
        <w:rPr>
          <w:rFonts w:asciiTheme="majorHAnsi" w:hAnsiTheme="majorHAnsi" w:cstheme="majorHAnsi"/>
          <w:b/>
          <w:sz w:val="36"/>
          <w:szCs w:val="36"/>
        </w:rPr>
      </w:r>
      <w:r>
        <w:rPr>
          <w:rFonts w:asciiTheme="majorHAnsi" w:hAnsiTheme="majorHAnsi" w:cstheme="majorHAnsi"/>
          <w:b/>
          <w:sz w:val="36"/>
          <w:szCs w:val="36"/>
        </w:rPr>
      </w:r>
    </w:p>
    <w:sectPr>
      <w:headerReference w:type="default" r:id="rId15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Noto Sans Symbols"/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ourier New">
    <w:panose1 w:val="02070409020205020404"/>
  </w:font>
  <w:font w:name="Helvetica">
    <w:panose1 w:val="020B0604020202020204"/>
  </w:font>
  <w:font w:name="SimSun">
    <w:panose1 w:val="02020603020101020101"/>
  </w:font>
  <w:font w:name="MS ????"/>
  <w:font w:name="Arial">
    <w:panose1 w:val="020B0604020202020204"/>
  </w:font>
  <w:font w:name="Segoe UI">
    <w:panose1 w:val="020B0502040504020204"/>
  </w:font>
  <w:font w:name="DejaVu Sans">
    <w:panose1 w:val="020B06030308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9"/>
      <w:jc w:val="right"/>
      <w:rPr>
        <w:rFonts w:asciiTheme="minorHAnsi" w:hAnsiTheme="minorHAnsi" w:cstheme="minorHAnsi"/>
        <w:sz w:val="22"/>
      </w:rPr>
    </w:pPr>
    <w:r>
      <w:rPr>
        <w:rFonts w:asciiTheme="minorHAnsi" w:hAnsiTheme="minorHAnsi" w:cstheme="minorHAnsi"/>
        <w:sz w:val="22"/>
      </w:rPr>
    </w:r>
    <w:r>
      <w:rPr>
        <w:rFonts w:asciiTheme="minorHAnsi" w:hAnsiTheme="minorHAnsi" w:cstheme="minorHAnsi"/>
        <w:sz w:val="22"/>
      </w:rPr>
    </w:r>
    <w:r>
      <w:rPr>
        <w:rFonts w:asciiTheme="minorHAnsi" w:hAnsiTheme="minorHAnsi" w:cstheme="minorHAnsi"/>
        <w:sz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91001216"/>
      <w:docPartObj>
        <w:docPartGallery w:val="Page Numbers (Bottom of Page)"/>
        <w:docPartUnique w:val="true"/>
      </w:docPartObj>
      <w:rPr/>
    </w:sdtPr>
    <w:sdtContent>
      <w:p>
        <w:pPr>
          <w:pStyle w:val="1169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sz w:val="22"/>
          </w:rPr>
          <w:fldChar w:fldCharType="begin"/>
        </w:r>
        <w:r>
          <w:rPr>
            <w:rFonts w:asciiTheme="minorHAnsi" w:hAnsiTheme="minorHAnsi" w:cstheme="minorHAnsi"/>
            <w:sz w:val="22"/>
          </w:rPr>
          <w:instrText xml:space="preserve">PAGE   \* MERGEFORMAT</w:instrText>
        </w:r>
        <w:r>
          <w:rPr>
            <w:rFonts w:asciiTheme="minorHAnsi" w:hAnsiTheme="minorHAnsi" w:cstheme="minorHAnsi"/>
            <w:sz w:val="22"/>
          </w:rPr>
          <w:fldChar w:fldCharType="separate"/>
        </w:r>
        <w:r>
          <w:rPr>
            <w:rFonts w:asciiTheme="minorHAnsi" w:hAnsiTheme="minorHAnsi" w:cstheme="minorHAnsi"/>
            <w:sz w:val="22"/>
          </w:rPr>
          <w:t xml:space="preserve">2</w:t>
        </w:r>
        <w:r>
          <w:rPr>
            <w:rFonts w:asciiTheme="minorHAnsi" w:hAnsiTheme="minorHAnsi" w:cstheme="minorHAnsi"/>
            <w:sz w:val="22"/>
          </w:rPr>
          <w:fldChar w:fldCharType="end"/>
        </w: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668870339"/>
      <w:docPartObj>
        <w:docPartGallery w:val="Page Numbers (Bottom of Page)"/>
        <w:docPartUnique w:val="true"/>
      </w:docPartObj>
      <w:rPr>
        <w:rFonts w:asciiTheme="minorHAnsi" w:hAnsiTheme="minorHAnsi" w:cstheme="minorHAnsi"/>
        <w:sz w:val="22"/>
      </w:rPr>
    </w:sdtPr>
    <w:sdtContent>
      <w:p>
        <w:pPr>
          <w:pStyle w:val="1169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91538662"/>
      <w:docPartObj>
        <w:docPartGallery w:val="Page Numbers (Bottom of Page)"/>
        <w:docPartUnique w:val="true"/>
      </w:docPartObj>
      <w:rPr/>
    </w:sdtPr>
    <w:sdtContent>
      <w:p>
        <w:pPr>
          <w:pStyle w:val="1169"/>
          <w:jc w:val="right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sz w:val="22"/>
          </w:rPr>
          <w:fldChar w:fldCharType="begin"/>
        </w:r>
        <w:r>
          <w:rPr>
            <w:rFonts w:asciiTheme="minorHAnsi" w:hAnsiTheme="minorHAnsi" w:cstheme="minorHAnsi"/>
            <w:sz w:val="22"/>
          </w:rPr>
          <w:instrText xml:space="preserve">PAGE   \* MERGEFORMAT</w:instrText>
        </w:r>
        <w:r>
          <w:rPr>
            <w:rFonts w:asciiTheme="minorHAnsi" w:hAnsiTheme="minorHAnsi" w:cstheme="minorHAnsi"/>
            <w:sz w:val="22"/>
          </w:rPr>
          <w:fldChar w:fldCharType="separate"/>
        </w:r>
        <w:r>
          <w:rPr>
            <w:rFonts w:asciiTheme="minorHAnsi" w:hAnsiTheme="minorHAnsi" w:cstheme="minorHAnsi"/>
            <w:sz w:val="22"/>
          </w:rPr>
          <w:t xml:space="preserve">I</w:t>
        </w:r>
        <w:r>
          <w:rPr>
            <w:rFonts w:asciiTheme="minorHAnsi" w:hAnsiTheme="minorHAnsi" w:cstheme="minorHAnsi"/>
            <w:sz w:val="22"/>
          </w:rPr>
          <w:fldChar w:fldCharType="end"/>
        </w: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27675756"/>
      <w:docPartObj>
        <w:docPartGallery w:val="Page Numbers (Bottom of Page)"/>
        <w:docPartUnique w:val="true"/>
      </w:docPartObj>
      <w:rPr/>
    </w:sdtPr>
    <w:sdtContent>
      <w:p>
        <w:pPr>
          <w:pStyle w:val="1169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sz w:val="22"/>
          </w:rPr>
          <w:fldChar w:fldCharType="begin"/>
        </w:r>
        <w:r>
          <w:rPr>
            <w:rFonts w:asciiTheme="minorHAnsi" w:hAnsiTheme="minorHAnsi" w:cstheme="minorHAnsi"/>
            <w:sz w:val="22"/>
          </w:rPr>
          <w:instrText xml:space="preserve">PAGE   \* MERGEFORMAT</w:instrText>
        </w:r>
        <w:r>
          <w:rPr>
            <w:rFonts w:asciiTheme="minorHAnsi" w:hAnsiTheme="minorHAnsi" w:cstheme="minorHAnsi"/>
            <w:sz w:val="22"/>
          </w:rPr>
          <w:fldChar w:fldCharType="separate"/>
        </w:r>
        <w:r>
          <w:rPr>
            <w:rFonts w:asciiTheme="minorHAnsi" w:hAnsiTheme="minorHAnsi" w:cstheme="minorHAnsi"/>
            <w:sz w:val="22"/>
          </w:rPr>
          <w:t xml:space="preserve">II</w:t>
        </w:r>
        <w:r>
          <w:rPr>
            <w:rFonts w:asciiTheme="minorHAnsi" w:hAnsiTheme="minorHAnsi" w:cstheme="minorHAnsi"/>
            <w:sz w:val="22"/>
          </w:rPr>
          <w:fldChar w:fldCharType="end"/>
        </w: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09080810"/>
      <w:docPartObj>
        <w:docPartGallery w:val="Page Numbers (Bottom of Page)"/>
        <w:docPartUnique w:val="true"/>
      </w:docPartObj>
      <w:rPr>
        <w:rFonts w:asciiTheme="minorHAnsi" w:hAnsiTheme="minorHAnsi" w:cstheme="minorHAnsi"/>
        <w:sz w:val="22"/>
      </w:rPr>
    </w:sdtPr>
    <w:sdtContent>
      <w:p>
        <w:pPr>
          <w:pStyle w:val="1169"/>
          <w:jc w:val="right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sz w:val="22"/>
          </w:rPr>
          <w:fldChar w:fldCharType="begin"/>
        </w:r>
        <w:r>
          <w:rPr>
            <w:rFonts w:asciiTheme="minorHAnsi" w:hAnsiTheme="minorHAnsi" w:cstheme="minorHAnsi"/>
            <w:sz w:val="22"/>
          </w:rPr>
          <w:instrText xml:space="preserve">PAGE   \* MERGEFORMAT</w:instrText>
        </w:r>
        <w:r>
          <w:rPr>
            <w:rFonts w:asciiTheme="minorHAnsi" w:hAnsiTheme="minorHAnsi" w:cstheme="minorHAnsi"/>
            <w:sz w:val="22"/>
          </w:rPr>
          <w:fldChar w:fldCharType="separate"/>
        </w:r>
        <w:r>
          <w:rPr>
            <w:rFonts w:asciiTheme="minorHAnsi" w:hAnsiTheme="minorHAnsi" w:cstheme="minorHAnsi"/>
            <w:sz w:val="22"/>
          </w:rPr>
          <w:t xml:space="preserve">1</w:t>
        </w:r>
        <w:r>
          <w:rPr>
            <w:rFonts w:asciiTheme="minorHAnsi" w:hAnsiTheme="minorHAnsi" w:cstheme="minorHAnsi"/>
            <w:sz w:val="22"/>
          </w:rPr>
          <w:fldChar w:fldCharType="end"/>
        </w: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10642563"/>
      <w:docPartObj>
        <w:docPartGallery w:val="Page Numbers (Bottom of Page)"/>
        <w:docPartUnique w:val="true"/>
      </w:docPartObj>
      <w:rPr/>
    </w:sdtPr>
    <w:sdtContent>
      <w:p>
        <w:pPr>
          <w:pStyle w:val="1169"/>
          <w:jc w:val="right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sz w:val="22"/>
          </w:rPr>
          <w:fldChar w:fldCharType="begin"/>
        </w:r>
        <w:r>
          <w:rPr>
            <w:rFonts w:asciiTheme="minorHAnsi" w:hAnsiTheme="minorHAnsi" w:cstheme="minorHAnsi"/>
            <w:sz w:val="22"/>
          </w:rPr>
          <w:instrText xml:space="preserve">PAGE   \* MERGEFORMAT</w:instrText>
        </w:r>
        <w:r>
          <w:rPr>
            <w:rFonts w:asciiTheme="minorHAnsi" w:hAnsiTheme="minorHAnsi" w:cstheme="minorHAnsi"/>
            <w:sz w:val="22"/>
          </w:rPr>
          <w:fldChar w:fldCharType="separate"/>
        </w:r>
        <w:r>
          <w:rPr>
            <w:rFonts w:asciiTheme="minorHAnsi" w:hAnsiTheme="minorHAnsi" w:cstheme="minorHAnsi"/>
            <w:sz w:val="22"/>
          </w:rPr>
          <w:t xml:space="preserve">13</w:t>
        </w:r>
        <w:r>
          <w:rPr>
            <w:rFonts w:asciiTheme="minorHAnsi" w:hAnsiTheme="minorHAnsi" w:cstheme="minorHAnsi"/>
            <w:sz w:val="22"/>
          </w:rPr>
          <w:fldChar w:fldCharType="end"/>
        </w: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53863101"/>
      <w:docPartObj>
        <w:docPartGallery w:val="Page Numbers (Bottom of Page)"/>
        <w:docPartUnique w:val="true"/>
      </w:docPartObj>
      <w:rPr/>
    </w:sdtPr>
    <w:sdtContent>
      <w:p>
        <w:pPr>
          <w:pStyle w:val="1169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sz w:val="22"/>
          </w:rPr>
          <w:fldChar w:fldCharType="begin"/>
        </w:r>
        <w:r>
          <w:rPr>
            <w:rFonts w:asciiTheme="minorHAnsi" w:hAnsiTheme="minorHAnsi" w:cstheme="minorHAnsi"/>
            <w:sz w:val="22"/>
          </w:rPr>
          <w:instrText xml:space="preserve">PAGE   \* MERGEFORMAT</w:instrText>
        </w:r>
        <w:r>
          <w:rPr>
            <w:rFonts w:asciiTheme="minorHAnsi" w:hAnsiTheme="minorHAnsi" w:cstheme="minorHAnsi"/>
            <w:sz w:val="22"/>
          </w:rPr>
          <w:fldChar w:fldCharType="separate"/>
        </w:r>
        <w:r>
          <w:rPr>
            <w:rFonts w:asciiTheme="minorHAnsi" w:hAnsiTheme="minorHAnsi" w:cstheme="minorHAnsi"/>
            <w:sz w:val="22"/>
          </w:rPr>
          <w:t xml:space="preserve">14</w:t>
        </w:r>
        <w:r>
          <w:rPr>
            <w:rFonts w:asciiTheme="minorHAnsi" w:hAnsiTheme="minorHAnsi" w:cstheme="minorHAnsi"/>
            <w:sz w:val="22"/>
          </w:rPr>
          <w:fldChar w:fldCharType="end"/>
        </w: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904130468"/>
      <w:docPartObj>
        <w:docPartGallery w:val="Page Numbers (Bottom of Page)"/>
        <w:docPartUnique w:val="true"/>
      </w:docPartObj>
      <w:rPr/>
    </w:sdtPr>
    <w:sdtContent>
      <w:p>
        <w:pPr>
          <w:pStyle w:val="1169"/>
          <w:jc w:val="center"/>
        </w:pPr>
        <w:r>
          <w:fldChar w:fldCharType="begin"/>
        </w:r>
        <w:r>
          <w:instrText xml:space="preserve">PAGE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96839850"/>
      <w:docPartObj>
        <w:docPartGallery w:val="Page Numbers (Bottom of Page)"/>
        <w:docPartUnique w:val="true"/>
      </w:docPartObj>
      <w:rPr/>
    </w:sdtPr>
    <w:sdtContent>
      <w:p>
        <w:pPr>
          <w:pStyle w:val="1169"/>
          <w:jc w:val="right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sz w:val="22"/>
          </w:rPr>
          <w:fldChar w:fldCharType="begin"/>
        </w:r>
        <w:r>
          <w:rPr>
            <w:rFonts w:asciiTheme="minorHAnsi" w:hAnsiTheme="minorHAnsi" w:cstheme="minorHAnsi"/>
            <w:sz w:val="22"/>
          </w:rPr>
          <w:instrText xml:space="preserve">PAGE   \* MERGEFORMAT</w:instrText>
        </w:r>
        <w:r>
          <w:rPr>
            <w:rFonts w:asciiTheme="minorHAnsi" w:hAnsiTheme="minorHAnsi" w:cstheme="minorHAnsi"/>
            <w:sz w:val="22"/>
          </w:rPr>
          <w:fldChar w:fldCharType="separate"/>
        </w:r>
        <w:r>
          <w:rPr>
            <w:rFonts w:asciiTheme="minorHAnsi" w:hAnsiTheme="minorHAnsi" w:cstheme="minorHAnsi"/>
            <w:sz w:val="22"/>
          </w:rPr>
          <w:t xml:space="preserve">2</w:t>
        </w:r>
        <w:r>
          <w:rPr>
            <w:rFonts w:asciiTheme="minorHAnsi" w:hAnsiTheme="minorHAnsi" w:cstheme="minorHAnsi"/>
            <w:sz w:val="22"/>
          </w:rPr>
          <w:fldChar w:fldCharType="end"/>
        </w: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</w:p>
    </w:sdtContent>
  </w:sdt>
  <w:p>
    <w:pPr>
      <w:pStyle w:val="1169"/>
      <w:ind w:left="7017" w:firstLine="7143"/>
      <w:rPr>
        <w:rFonts w:ascii="Arial" w:hAnsi="Arial" w:cs="Arial"/>
        <w:sz w:val="28"/>
      </w:rPr>
    </w:pPr>
    <w:r>
      <w:rPr>
        <w:rFonts w:ascii="Arial" w:hAnsi="Arial" w:cs="Arial"/>
        <w:sz w:val="28"/>
      </w:rPr>
    </w:r>
    <w:r>
      <w:rPr>
        <w:rFonts w:ascii="Arial" w:hAnsi="Arial" w:cs="Arial"/>
        <w:sz w:val="28"/>
      </w:rPr>
    </w:r>
    <w:r>
      <w:rPr>
        <w:rFonts w:ascii="Arial" w:hAnsi="Arial" w:cs="Arial"/>
        <w:sz w:val="28"/>
      </w:rPr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39249610"/>
      <w:docPartObj>
        <w:docPartGallery w:val="Page Numbers (Bottom of Page)"/>
        <w:docPartUnique w:val="true"/>
      </w:docPartObj>
      <w:rPr/>
    </w:sdtPr>
    <w:sdtContent>
      <w:p>
        <w:pPr>
          <w:pStyle w:val="1169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sz w:val="22"/>
          </w:rPr>
          <w:fldChar w:fldCharType="begin"/>
        </w:r>
        <w:r>
          <w:rPr>
            <w:rFonts w:asciiTheme="minorHAnsi" w:hAnsiTheme="minorHAnsi" w:cstheme="minorHAnsi"/>
            <w:sz w:val="22"/>
          </w:rPr>
          <w:instrText xml:space="preserve">PAGE   \* MERGEFORMAT</w:instrText>
        </w:r>
        <w:r>
          <w:rPr>
            <w:rFonts w:asciiTheme="minorHAnsi" w:hAnsiTheme="minorHAnsi" w:cstheme="minorHAnsi"/>
            <w:sz w:val="22"/>
          </w:rPr>
          <w:fldChar w:fldCharType="separate"/>
        </w:r>
        <w:r>
          <w:rPr>
            <w:rFonts w:asciiTheme="minorHAnsi" w:hAnsiTheme="minorHAnsi" w:cstheme="minorHAnsi"/>
            <w:sz w:val="22"/>
          </w:rPr>
          <w:t xml:space="preserve">22</w:t>
        </w:r>
        <w:r>
          <w:rPr>
            <w:rFonts w:asciiTheme="minorHAnsi" w:hAnsiTheme="minorHAnsi" w:cstheme="minorHAnsi"/>
            <w:sz w:val="22"/>
          </w:rPr>
          <w:fldChar w:fldCharType="end"/>
        </w:r>
        <w:r>
          <w:rPr>
            <w:rFonts w:asciiTheme="minorHAnsi" w:hAnsiTheme="minorHAnsi" w:cstheme="minorHAnsi"/>
            <w:sz w:val="22"/>
          </w:rPr>
        </w:r>
        <w:r>
          <w:rPr>
            <w:rFonts w:asciiTheme="minorHAnsi" w:hAnsiTheme="minorHAnsi" w:cstheme="minorHAnsi"/>
            <w:sz w:val="22"/>
          </w:rPr>
        </w:r>
      </w:p>
    </w:sdtContent>
  </w:sdt>
  <w:p>
    <w:pPr>
      <w:pStyle w:val="1169"/>
      <w:ind w:left="7017" w:firstLine="7143"/>
      <w:rPr>
        <w:rFonts w:ascii="Arial" w:hAnsi="Arial" w:cs="Arial"/>
        <w:sz w:val="28"/>
      </w:rPr>
    </w:pPr>
    <w:r>
      <w:rPr>
        <w:rFonts w:ascii="Arial" w:hAnsi="Arial" w:cs="Arial"/>
        <w:sz w:val="28"/>
      </w:rPr>
    </w:r>
    <w:r>
      <w:rPr>
        <w:rFonts w:ascii="Arial" w:hAnsi="Arial" w:cs="Arial"/>
        <w:sz w:val="28"/>
      </w:rPr>
    </w:r>
    <w:r>
      <w:rPr>
        <w:rFonts w:ascii="Arial" w:hAnsi="Arial" w:cs="Arial"/>
        <w:sz w:val="2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7"/>
      <w:jc w:val="right"/>
      <w:rPr>
        <w:rFonts w:asciiTheme="minorHAnsi" w:hAnsiTheme="minorHAnsi" w:cstheme="minorHAnsi"/>
        <w:sz w:val="22"/>
      </w:rPr>
    </w:pPr>
    <w:r>
      <w:rPr>
        <w:rFonts w:asciiTheme="minorHAnsi" w:hAnsiTheme="minorHAnsi" w:cstheme="minorHAnsi"/>
        <w:sz w:val="22"/>
      </w:rPr>
    </w:r>
    <w:r>
      <w:rPr>
        <w:rFonts w:asciiTheme="minorHAnsi" w:hAnsiTheme="minorHAnsi" w:cstheme="minorHAnsi"/>
        <w:sz w:val="22"/>
      </w:rPr>
    </w:r>
    <w:r>
      <w:rPr>
        <w:rFonts w:asciiTheme="minorHAnsi" w:hAnsiTheme="minorHAnsi" w:cstheme="minorHAnsi"/>
        <w:sz w:val="22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7"/>
      <w:rPr>
        <w:rFonts w:asciiTheme="minorHAnsi" w:hAnsiTheme="minorHAnsi" w:cstheme="minorHAnsi"/>
        <w:sz w:val="22"/>
      </w:rPr>
    </w:pPr>
    <w:r>
      <w:rPr>
        <w:rFonts w:asciiTheme="minorHAnsi" w:hAnsiTheme="minorHAnsi" w:cstheme="minorHAnsi"/>
        <w:sz w:val="22"/>
      </w:rPr>
      <w:t xml:space="preserve">ПНСТ</w:t>
    </w:r>
    <w:r>
      <w:rPr>
        <w:rFonts w:asciiTheme="minorHAnsi" w:hAnsiTheme="minorHAnsi" w:cstheme="minorHAnsi"/>
        <w:sz w:val="22"/>
      </w:rPr>
    </w:r>
    <w:r>
      <w:rPr>
        <w:rFonts w:asciiTheme="minorHAnsi" w:hAnsiTheme="minorHAnsi" w:cstheme="minorHAnsi"/>
        <w:sz w:val="22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7"/>
      <w:jc w:val="right"/>
      <w:rPr>
        <w:rFonts w:asciiTheme="minorHAnsi" w:hAnsiTheme="minorHAnsi" w:cstheme="minorHAnsi"/>
        <w:sz w:val="22"/>
      </w:rPr>
    </w:pPr>
    <w:r>
      <w:rPr>
        <w:rFonts w:asciiTheme="minorHAnsi" w:hAnsiTheme="minorHAnsi" w:cstheme="minorHAnsi"/>
        <w:sz w:val="22"/>
      </w:rPr>
      <w:t xml:space="preserve">ПНСТ</w:t>
    </w:r>
    <w:r>
      <w:rPr>
        <w:rFonts w:asciiTheme="minorHAnsi" w:hAnsiTheme="minorHAnsi" w:cstheme="minorHAnsi"/>
        <w:sz w:val="22"/>
      </w:rPr>
    </w:r>
    <w:r>
      <w:rPr>
        <w:rFonts w:asciiTheme="minorHAnsi" w:hAnsiTheme="minorHAnsi" w:cstheme="minorHAnsi"/>
        <w:sz w:val="22"/>
      </w:rPr>
    </w:r>
  </w:p>
  <w:p>
    <w:pPr>
      <w:pStyle w:val="1167"/>
      <w:jc w:val="right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47"/>
      <w:jc w:val="right"/>
      <w:spacing w:before="0" w:beforeAutospacing="0" w:after="240" w:afterAutospacing="0"/>
    </w:pPr>
    <w:r>
      <w:rPr>
        <w:rFonts w:ascii="Arial" w:hAnsi="Arial" w:cs="Arial"/>
        <w:b/>
        <w:bCs/>
        <w:color w:val="000000"/>
        <w:sz w:val="28"/>
        <w:szCs w:val="28"/>
      </w:rPr>
      <w:t xml:space="preserve">ПНСТ _________</w:t>
    </w:r>
    <w:r/>
  </w:p>
  <w:p>
    <w:pPr>
      <w:pStyle w:val="1329"/>
      <w:jc w:val="right"/>
      <w:spacing w:before="0" w:beforeAutospacing="0" w:after="240" w:afterAutospacing="0"/>
    </w:pPr>
    <w:r>
      <w:rPr>
        <w:rFonts w:ascii="Arial" w:hAnsi="Arial" w:cs="Arial"/>
        <w:i/>
        <w:iCs/>
        <w:color w:val="000000"/>
        <w:sz w:val="28"/>
        <w:szCs w:val="28"/>
      </w:rPr>
      <w:t xml:space="preserve">(концепция)</w:t>
    </w:r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47"/>
      <w:spacing w:before="0" w:beforeAutospacing="0" w:after="240" w:afterAutospacing="0"/>
    </w:pPr>
    <w:r>
      <w:rPr>
        <w:rFonts w:ascii="Arial" w:hAnsi="Arial" w:cs="Arial"/>
        <w:b/>
        <w:bCs/>
        <w:color w:val="000000"/>
        <w:sz w:val="28"/>
        <w:szCs w:val="28"/>
      </w:rPr>
      <w:t xml:space="preserve">ПНСТ _________</w:t>
    </w:r>
    <w:r/>
  </w:p>
  <w:p>
    <w:pPr>
      <w:pStyle w:val="1329"/>
      <w:spacing w:before="0" w:beforeAutospacing="0" w:after="240" w:afterAutospacing="0"/>
    </w:pPr>
    <w:r>
      <w:rPr>
        <w:rFonts w:ascii="Arial" w:hAnsi="Arial" w:cs="Arial"/>
        <w:i/>
        <w:iCs/>
        <w:color w:val="000000"/>
        <w:sz w:val="28"/>
        <w:szCs w:val="28"/>
      </w:rPr>
      <w:t xml:space="preserve">(концепция)</w:t>
    </w:r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47"/>
      <w:jc w:val="right"/>
      <w:spacing w:before="0" w:beforeAutospacing="0" w:after="240" w:afterAutospacing="0"/>
    </w:pPr>
    <w:r>
      <w:rPr>
        <w:rFonts w:ascii="Arial" w:hAnsi="Arial" w:cs="Arial"/>
        <w:b/>
        <w:bCs/>
        <w:color w:val="000000"/>
        <w:sz w:val="28"/>
        <w:szCs w:val="28"/>
      </w:rPr>
      <w:t xml:space="preserve">ПНСТ _________</w:t>
    </w:r>
    <w:r/>
  </w:p>
  <w:p>
    <w:pPr>
      <w:pStyle w:val="1329"/>
      <w:jc w:val="right"/>
      <w:spacing w:before="0" w:beforeAutospacing="0" w:after="240" w:afterAutospacing="0"/>
    </w:pPr>
    <w:r>
      <w:rPr>
        <w:rFonts w:ascii="Arial" w:hAnsi="Arial" w:cs="Arial"/>
        <w:i/>
        <w:iCs/>
        <w:color w:val="000000"/>
        <w:sz w:val="28"/>
        <w:szCs w:val="28"/>
      </w:rPr>
      <w:t xml:space="preserve">(концепция)</w:t>
    </w:r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center" w:pos="7143" w:leader="none"/>
        <w:tab w:val="right" w:pos="14287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50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933" w:hanging="504"/>
      </w:pPr>
    </w:lvl>
    <w:lvl w:ilvl="3">
      <w:start w:val="1"/>
      <w:numFmt w:val="decimal"/>
      <w:isLgl w:val="false"/>
      <w:suff w:val="tab"/>
      <w:lvlText w:val="%13.%2.2.%4"/>
      <w:lvlJc w:val="left"/>
      <w:pPr>
        <w:ind w:left="243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4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10.%25.%3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2.2.3.%4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2.3.%3.%4"/>
      <w:lvlJc w:val="left"/>
      <w:pPr>
        <w:ind w:left="1728" w:hanging="648"/>
      </w:pPr>
      <w:rPr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cs="Times New Roman"/>
        <w:b/>
        <w:color w:val="000000" w:themeColor="text1"/>
      </w:rPr>
    </w:lvl>
    <w:lvl w:ilvl="1">
      <w:start w:val="1"/>
      <w:numFmt w:val="decimal"/>
      <w:isLgl w:val="false"/>
      <w:suff w:val="tab"/>
      <w:lvlText w:val="8.%2"/>
      <w:lvlJc w:val="left"/>
      <w:pPr>
        <w:ind w:left="1567" w:hanging="432"/>
      </w:pPr>
      <w:rPr>
        <w:rFonts w:hint="default" w:ascii="Arial" w:hAnsi="Arial" w:eastAsia="Arial" w:cs="Arial"/>
        <w:b w:val="0"/>
        <w:bCs/>
        <w:color w:val="000000" w:themeColor="text1"/>
        <w:sz w:val="28"/>
        <w:szCs w:val="28"/>
      </w:rPr>
    </w:lvl>
    <w:lvl w:ilvl="2">
      <w:start w:val="1"/>
      <w:numFmt w:val="decimal"/>
      <w:isLgl w:val="false"/>
      <w:suff w:val="tab"/>
      <w:lvlText w:val="7.%2.%3"/>
      <w:lvlJc w:val="left"/>
      <w:pPr>
        <w:ind w:left="1224" w:hanging="504"/>
      </w:pPr>
      <w:rPr>
        <w:rFonts w:hint="default" w:ascii="Arial" w:hAnsi="Arial" w:eastAsia="Arial" w:cs="Arial"/>
        <w:b w:val="0"/>
        <w:bCs/>
        <w:color w:val="000000" w:themeColor="text1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ascii="Times New Roman" w:hAnsi="Times New Roman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decimal"/>
      <w:pStyle w:val="1135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pStyle w:val="1136"/>
      <w:isLgl w:val="false"/>
      <w:suff w:val="tab"/>
      <w:lvlText w:val="3.%2"/>
      <w:lvlJc w:val="left"/>
      <w:pPr>
        <w:ind w:left="1141" w:hanging="432"/>
      </w:pPr>
      <w:rPr>
        <w:b w:val="0"/>
        <w:color w:val="000000" w:themeColor="text1"/>
      </w:rPr>
    </w:lvl>
    <w:lvl w:ilvl="2">
      <w:start w:val="1"/>
      <w:numFmt w:val="decimal"/>
      <w:pStyle w:val="1137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pStyle w:val="1138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pStyle w:val="1139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pStyle w:val="1140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pStyle w:val="1141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pStyle w:val="1142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pStyle w:val="1143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§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pStyle w:val="1378"/>
      <w:isLgl w:val="false"/>
      <w:suff w:val="tab"/>
      <w:lvlText w:val="%1."/>
      <w:lvlJc w:val="left"/>
      <w:pPr>
        <w:ind w:left="426" w:firstLine="0"/>
      </w:pPr>
    </w:lvl>
    <w:lvl w:ilvl="1">
      <w:start w:val="1"/>
      <w:numFmt w:val="decimal"/>
      <w:isLgl w:val="false"/>
      <w:suff w:val="tab"/>
      <w:lvlText w:val="%1.%2."/>
      <w:lvlJc w:val="left"/>
      <w:pPr>
        <w:ind w:left="455" w:firstLine="113"/>
      </w:pPr>
      <w:rPr>
        <w:i w:val="0"/>
        <w:smallCaps w:val="0"/>
        <w:strike w:val="0"/>
        <w:u w:val="none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71" w:hanging="794"/>
      </w:pPr>
      <w:rPr>
        <w:b/>
        <w:i w:val="0"/>
        <w:smallCaps w:val="0"/>
        <w:strike w:val="0"/>
        <w:sz w:val="24"/>
        <w:highlight w:val="none"/>
        <w:u w:val="none"/>
        <w:vertAlign w:val="baseli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6%1.%2.%3.%4.%5..%7."/>
      <w:lvlJc w:val="left"/>
      <w:pPr>
        <w:ind w:left="3175" w:hanging="1015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4.%2"/>
      <w:lvlJc w:val="left"/>
      <w:pPr>
        <w:ind w:left="1501" w:hanging="432"/>
      </w:pPr>
      <w:rPr>
        <w:rFonts w:ascii="Arial" w:hAnsi="Arial" w:eastAsia="Arial" w:cs="Arial"/>
        <w:b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3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3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850" w:hanging="432"/>
      </w:pPr>
      <w:rPr>
        <w:rFonts w:ascii="Arial" w:hAnsi="Arial" w:eastAsia="Arial" w:cs="Arial"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4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2.3.5.%4"/>
      <w:lvlJc w:val="left"/>
      <w:pPr>
        <w:ind w:left="1728" w:hanging="648"/>
      </w:pPr>
      <w:rPr>
        <w:sz w:val="28"/>
      </w:rPr>
    </w:lvl>
    <w:lvl w:ilvl="4">
      <w:start w:val="1"/>
      <w:numFmt w:val="decimal"/>
      <w:isLgl w:val="false"/>
      <w:suff w:val="tab"/>
      <w:lvlText w:val="%18.%2.5.2.%5"/>
      <w:lvlJc w:val="left"/>
      <w:pPr>
        <w:ind w:left="2232" w:hanging="792"/>
      </w:pPr>
      <w:rPr>
        <w:sz w:val="28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russianLower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2.%2.%3"/>
      <w:lvlJc w:val="left"/>
      <w:pPr>
        <w:ind w:left="1224" w:hanging="504"/>
      </w:pPr>
      <w:rPr>
        <w:rFonts w:hint="default"/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pStyle w:val="1382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5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7.2.%3"/>
      <w:lvlJc w:val="left"/>
      <w:pPr>
        <w:ind w:left="1224" w:hanging="504"/>
      </w:pPr>
      <w:rPr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9.%2.%3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9" w:hanging="360"/>
      </w:pPr>
    </w:lvl>
    <w:lvl w:ilvl="1">
      <w:start w:val="1"/>
      <w:numFmt w:val="decimal"/>
      <w:isLgl w:val="false"/>
      <w:suff w:val="tab"/>
      <w:lvlText w:val="10.%2"/>
      <w:lvlJc w:val="left"/>
      <w:pPr>
        <w:ind w:left="1991" w:hanging="432"/>
      </w:pPr>
    </w:lvl>
    <w:lvl w:ilvl="2">
      <w:start w:val="1"/>
      <w:numFmt w:val="decimal"/>
      <w:isLgl w:val="false"/>
      <w:suff w:val="tab"/>
      <w:lvlText w:val="10.%2.%3"/>
      <w:lvlJc w:val="left"/>
      <w:pPr>
        <w:ind w:left="242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92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43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93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43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94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519" w:hanging="144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0.%2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russianLower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3.%2"/>
      <w:lvlJc w:val="left"/>
      <w:pPr>
        <w:ind w:left="1861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9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9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0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80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0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1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89" w:hanging="144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2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8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14.2.%3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6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5.%2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8.%2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7.3.%3"/>
      <w:lvlJc w:val="left"/>
      <w:pPr>
        <w:ind w:left="1224" w:hanging="504"/>
      </w:pPr>
      <w:rPr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7.%2.%3"/>
      <w:lvlJc w:val="left"/>
      <w:pPr>
        <w:ind w:left="1224" w:hanging="504"/>
      </w:pPr>
      <w:rPr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russianLower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styleLink w:val="1469"/>
    <w:lvl w:ilvl="0">
      <w:start w:val="1"/>
      <w:numFmt w:val="decimal"/>
      <w:pStyle w:val="1469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567" w:hanging="432"/>
      </w:pPr>
      <w:rPr>
        <w:rFonts w:hint="default" w:ascii="Times New Roman" w:hAnsi="Times New Roman" w:cs="Times New Roman"/>
        <w:b w:val="0"/>
        <w:bCs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ascii="Times New Roman" w:hAnsi="Times New Roman" w:cs="Times New Roman"/>
        <w:b w:val="0"/>
        <w:bCs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7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501" w:hanging="432"/>
      </w:pPr>
    </w:lvl>
    <w:lvl w:ilvl="2">
      <w:start w:val="1"/>
      <w:numFmt w:val="decimal"/>
      <w:isLgl w:val="false"/>
      <w:suff w:val="tab"/>
      <w:lvlText w:val="%12.3.%3"/>
      <w:lvlJc w:val="left"/>
      <w:pPr>
        <w:ind w:left="193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3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9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9.%2.%3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11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9" w:hanging="360"/>
      </w:pPr>
      <w:rPr>
        <w:rFonts w:hint="default" w:ascii="Times New Roman" w:hAnsi="Times New Roman" w:eastAsia="Arial" w:cs="Times New Roman"/>
        <w:sz w:val="28"/>
        <w:highlight w:val="white"/>
      </w:rPr>
    </w:lvl>
    <w:lvl w:ilvl="1">
      <w:start w:val="1"/>
      <w:numFmt w:val="decimal"/>
      <w:isLgl w:val="false"/>
      <w:suff w:val="tab"/>
      <w:lvlText w:val="%1.%2."/>
      <w:lvlJc w:val="left"/>
      <w:pPr>
        <w:ind w:left="199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423" w:hanging="504"/>
      </w:pPr>
    </w:lvl>
    <w:lvl w:ilvl="3">
      <w:start w:val="1"/>
      <w:numFmt w:val="decimal"/>
      <w:isLgl w:val="false"/>
      <w:suff w:val="tab"/>
      <w:lvlText w:val="%13.2.2.%4"/>
      <w:lvlJc w:val="left"/>
      <w:pPr>
        <w:ind w:left="292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43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93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43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94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519" w:hanging="144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2.%2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501" w:hanging="432"/>
      </w:pPr>
    </w:lvl>
    <w:lvl w:ilvl="2">
      <w:start w:val="1"/>
      <w:numFmt w:val="decimal"/>
      <w:isLgl w:val="false"/>
      <w:suff w:val="tab"/>
      <w:lvlText w:val="%12.%2.%3"/>
      <w:lvlJc w:val="left"/>
      <w:pPr>
        <w:ind w:left="1933" w:hanging="504"/>
      </w:pPr>
    </w:lvl>
    <w:lvl w:ilvl="3">
      <w:start w:val="1"/>
      <w:numFmt w:val="decimal"/>
      <w:isLgl w:val="false"/>
      <w:suff w:val="tab"/>
      <w:lvlText w:val="%11.%2.%3.%4"/>
      <w:lvlJc w:val="left"/>
      <w:pPr>
        <w:ind w:left="243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3.%2.%3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7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3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7.%2"/>
      <w:lvlJc w:val="left"/>
      <w:pPr>
        <w:ind w:left="1850" w:hanging="432"/>
      </w:pPr>
      <w:rPr>
        <w:rFonts w:ascii="Arial" w:hAnsi="Arial" w:eastAsia="Arial" w:cs="Arial"/>
        <w:b w:val="0"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3">
    <w:multiLevelType w:val="hybridMultilevel"/>
    <w:lvl w:ilvl="0">
      <w:start w:val="1"/>
      <w:numFmt w:val="decimal"/>
      <w:pStyle w:val="1406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pStyle w:val="1409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54">
    <w:multiLevelType w:val="hybridMultilevel"/>
    <w:styleLink w:val="1468"/>
    <w:lvl w:ilvl="0">
      <w:start w:val="1"/>
      <w:numFmt w:val="decimal"/>
      <w:pStyle w:val="1468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2.%2"/>
      <w:lvlJc w:val="left"/>
      <w:pPr>
        <w:ind w:left="1501" w:hanging="432"/>
      </w:pPr>
    </w:lvl>
    <w:lvl w:ilvl="2">
      <w:start w:val="1"/>
      <w:numFmt w:val="decimal"/>
      <w:isLgl w:val="false"/>
      <w:suff w:val="tab"/>
      <w:lvlText w:val="%12.%2.%3"/>
      <w:lvlJc w:val="left"/>
      <w:pPr>
        <w:ind w:left="193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3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501" w:hanging="432"/>
      </w:pPr>
    </w:lvl>
    <w:lvl w:ilvl="2">
      <w:start w:val="1"/>
      <w:numFmt w:val="decimal"/>
      <w:isLgl w:val="false"/>
      <w:suff w:val="tab"/>
      <w:lvlText w:val="%12.2.%3"/>
      <w:lvlJc w:val="left"/>
      <w:pPr>
        <w:ind w:left="193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3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7.6.%3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abstractNum w:abstractNumId="6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2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6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russianLower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§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§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5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501" w:hanging="432"/>
      </w:pPr>
    </w:lvl>
    <w:lvl w:ilvl="2">
      <w:start w:val="1"/>
      <w:numFmt w:val="decimal"/>
      <w:isLgl w:val="false"/>
      <w:suff w:val="tab"/>
      <w:lvlText w:val="%14.%2.%3"/>
      <w:lvlJc w:val="left"/>
      <w:pPr>
        <w:ind w:left="193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3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§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2.3.4.%4"/>
      <w:lvlJc w:val="left"/>
      <w:pPr>
        <w:ind w:left="1728" w:hanging="648"/>
      </w:pPr>
      <w:rPr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2.%2"/>
      <w:lvlJc w:val="left"/>
      <w:pPr>
        <w:ind w:left="1501" w:hanging="432"/>
      </w:pPr>
    </w:lvl>
    <w:lvl w:ilvl="2">
      <w:start w:val="1"/>
      <w:numFmt w:val="decimal"/>
      <w:isLgl w:val="false"/>
      <w:suff w:val="tab"/>
      <w:lvlText w:val="%11.1.%3"/>
      <w:lvlJc w:val="left"/>
      <w:pPr>
        <w:ind w:left="1933" w:hanging="504"/>
      </w:pPr>
      <w:rPr>
        <w:b w:val="0"/>
      </w:rPr>
    </w:lvl>
    <w:lvl w:ilvl="3">
      <w:start w:val="1"/>
      <w:numFmt w:val="decimal"/>
      <w:isLgl w:val="false"/>
      <w:suff w:val="tab"/>
      <w:lvlText w:val="1%1.6.%3.%4"/>
      <w:lvlJc w:val="left"/>
      <w:pPr>
        <w:ind w:left="243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5.%2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isLgl w:val="false"/>
      <w:suff w:val="tab"/>
      <w:lvlText w:val="%13.2.%3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6.%2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6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8.%2.%3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  <w:b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8.%2.5.2.%5"/>
      <w:lvlJc w:val="left"/>
      <w:pPr>
        <w:ind w:left="2232" w:hanging="792"/>
      </w:pPr>
      <w:rPr>
        <w:rFonts w:hint="default"/>
        <w:sz w:val="28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1.%2"/>
      <w:lvlJc w:val="left"/>
      <w:pPr>
        <w:ind w:left="1141" w:hanging="432"/>
      </w:pPr>
      <w:rPr>
        <w:b/>
        <w:color w:val="auto"/>
      </w:rPr>
    </w:lvl>
    <w:lvl w:ilvl="2">
      <w:start w:val="1"/>
      <w:numFmt w:val="decimal"/>
      <w:isLgl w:val="false"/>
      <w:suff w:val="tab"/>
      <w:lvlText w:val="%11.%2.%3"/>
      <w:lvlJc w:val="left"/>
      <w:pPr>
        <w:ind w:left="1573" w:hanging="504"/>
      </w:pPr>
      <w:rPr>
        <w:b w:val="0"/>
        <w:color w:val="auto"/>
      </w:rPr>
    </w:lvl>
    <w:lvl w:ilvl="3">
      <w:start w:val="1"/>
      <w:numFmt w:val="decimal"/>
      <w:isLgl w:val="false"/>
      <w:suff w:val="tab"/>
      <w:lvlText w:val="%11.%2.%3.%4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000000" w:themeColor="text1"/>
        <w:sz w:val="28"/>
      </w:rPr>
    </w:lvl>
    <w:lvl w:ilvl="1">
      <w:start w:val="1"/>
      <w:numFmt w:val="decimal"/>
      <w:isLgl w:val="false"/>
      <w:suff w:val="tab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9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num w:numId="1">
    <w:abstractNumId w:val="17"/>
  </w:num>
  <w:num w:numId="2">
    <w:abstractNumId w:val="9"/>
  </w:num>
  <w:num w:numId="3">
    <w:abstractNumId w:val="53"/>
  </w:num>
  <w:num w:numId="4">
    <w:abstractNumId w:val="45"/>
  </w:num>
  <w:num w:numId="5">
    <w:abstractNumId w:val="58"/>
  </w:num>
  <w:num w:numId="6">
    <w:abstractNumId w:val="71"/>
  </w:num>
  <w:num w:numId="7">
    <w:abstractNumId w:val="38"/>
  </w:num>
  <w:num w:numId="8">
    <w:abstractNumId w:val="10"/>
  </w:num>
  <w:num w:numId="9">
    <w:abstractNumId w:val="77"/>
  </w:num>
  <w:num w:numId="10">
    <w:abstractNumId w:val="16"/>
  </w:num>
  <w:num w:numId="11">
    <w:abstractNumId w:val="79"/>
  </w:num>
  <w:num w:numId="12">
    <w:abstractNumId w:val="59"/>
    <w:lvlOverride w:ilvl="0">
      <w:lvl w:ilvl="0">
        <w:start w:val="2"/>
        <w:numFmt w:val="decimal"/>
        <w:isLgl w:val="false"/>
        <w:suff w:val="tab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 w:val="false"/>
        <w:suff w:val="tab"/>
        <w:lvlText w:val="3.%2"/>
        <w:lvlJc w:val="left"/>
        <w:pPr>
          <w:ind w:left="792" w:hanging="432"/>
        </w:pPr>
        <w:rPr>
          <w:rFonts w:hint="default"/>
          <w:sz w:val="28"/>
        </w:rPr>
      </w:lvl>
    </w:lvlOverride>
    <w:lvlOverride w:ilvl="2">
      <w:lvl w:ilvl="2">
        <w:start w:val="1"/>
        <w:numFmt w:val="decimal"/>
        <w:isLgl w:val="false"/>
        <w:suff w:val="tab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isLgl w:val="false"/>
        <w:suff w:val="tab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isLgl w:val="false"/>
        <w:suff w:val="tab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isLgl w:val="false"/>
        <w:suff w:val="tab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isLgl w:val="false"/>
        <w:suff w:val="tab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 w:val="false"/>
        <w:suff w:val="tab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isLgl w:val="false"/>
        <w:suff w:val="tab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46"/>
  </w:num>
  <w:num w:numId="14">
    <w:abstractNumId w:val="47"/>
  </w:num>
  <w:num w:numId="15">
    <w:abstractNumId w:val="6"/>
  </w:num>
  <w:num w:numId="16">
    <w:abstractNumId w:val="54"/>
  </w:num>
  <w:num w:numId="17">
    <w:abstractNumId w:val="39"/>
  </w:num>
  <w:num w:numId="18">
    <w:abstractNumId w:val="4"/>
  </w:num>
  <w:num w:numId="19">
    <w:abstractNumId w:val="36"/>
  </w:num>
  <w:num w:numId="20">
    <w:abstractNumId w:val="20"/>
  </w:num>
  <w:num w:numId="21">
    <w:abstractNumId w:val="29"/>
  </w:num>
  <w:num w:numId="22">
    <w:abstractNumId w:val="2"/>
  </w:num>
  <w:num w:numId="23">
    <w:abstractNumId w:val="80"/>
  </w:num>
  <w:num w:numId="24">
    <w:abstractNumId w:val="12"/>
  </w:num>
  <w:num w:numId="25">
    <w:abstractNumId w:val="26"/>
  </w:num>
  <w:num w:numId="26">
    <w:abstractNumId w:val="32"/>
  </w:num>
  <w:num w:numId="27">
    <w:abstractNumId w:val="52"/>
  </w:num>
  <w:num w:numId="28">
    <w:abstractNumId w:val="42"/>
  </w:num>
  <w:num w:numId="29">
    <w:abstractNumId w:val="70"/>
  </w:num>
  <w:num w:numId="30">
    <w:abstractNumId w:val="22"/>
  </w:num>
  <w:num w:numId="31">
    <w:abstractNumId w:val="78"/>
  </w:num>
  <w:num w:numId="32">
    <w:abstractNumId w:val="65"/>
  </w:num>
  <w:num w:numId="33">
    <w:abstractNumId w:val="68"/>
  </w:num>
  <w:num w:numId="34">
    <w:abstractNumId w:val="25"/>
  </w:num>
  <w:num w:numId="35">
    <w:abstractNumId w:val="8"/>
  </w:num>
  <w:num w:numId="36">
    <w:abstractNumId w:val="64"/>
  </w:num>
  <w:num w:numId="37">
    <w:abstractNumId w:val="55"/>
  </w:num>
  <w:num w:numId="38">
    <w:abstractNumId w:val="48"/>
  </w:num>
  <w:num w:numId="39">
    <w:abstractNumId w:val="56"/>
  </w:num>
  <w:num w:numId="40">
    <w:abstractNumId w:val="41"/>
  </w:num>
  <w:num w:numId="41">
    <w:abstractNumId w:val="57"/>
  </w:num>
  <w:num w:numId="42">
    <w:abstractNumId w:val="75"/>
  </w:num>
  <w:num w:numId="43">
    <w:abstractNumId w:val="67"/>
  </w:num>
  <w:num w:numId="44">
    <w:abstractNumId w:val="30"/>
  </w:num>
  <w:num w:numId="45">
    <w:abstractNumId w:val="19"/>
  </w:num>
  <w:num w:numId="46">
    <w:abstractNumId w:val="43"/>
  </w:num>
  <w:num w:numId="47">
    <w:abstractNumId w:val="62"/>
  </w:num>
  <w:num w:numId="48">
    <w:abstractNumId w:val="7"/>
  </w:num>
  <w:num w:numId="49">
    <w:abstractNumId w:val="13"/>
  </w:num>
  <w:num w:numId="50">
    <w:abstractNumId w:val="18"/>
  </w:num>
  <w:num w:numId="51">
    <w:abstractNumId w:val="31"/>
  </w:num>
  <w:num w:numId="52">
    <w:abstractNumId w:val="50"/>
  </w:num>
  <w:num w:numId="53">
    <w:abstractNumId w:val="28"/>
  </w:num>
  <w:num w:numId="54">
    <w:abstractNumId w:val="81"/>
  </w:num>
  <w:num w:numId="55">
    <w:abstractNumId w:val="23"/>
  </w:num>
  <w:num w:numId="56">
    <w:abstractNumId w:val="44"/>
  </w:num>
  <w:num w:numId="57">
    <w:abstractNumId w:val="27"/>
  </w:num>
  <w:num w:numId="58">
    <w:abstractNumId w:val="51"/>
  </w:num>
  <w:num w:numId="59">
    <w:abstractNumId w:val="1"/>
  </w:num>
  <w:num w:numId="60">
    <w:abstractNumId w:val="66"/>
  </w:num>
  <w:num w:numId="61">
    <w:abstractNumId w:val="69"/>
  </w:num>
  <w:num w:numId="62">
    <w:abstractNumId w:val="34"/>
  </w:num>
  <w:num w:numId="63">
    <w:abstractNumId w:val="49"/>
  </w:num>
  <w:num w:numId="64">
    <w:abstractNumId w:val="0"/>
  </w:num>
  <w:num w:numId="65">
    <w:abstractNumId w:val="37"/>
  </w:num>
  <w:num w:numId="66">
    <w:abstractNumId w:val="5"/>
  </w:num>
  <w:num w:numId="67">
    <w:abstractNumId w:val="35"/>
  </w:num>
  <w:num w:numId="68">
    <w:abstractNumId w:val="24"/>
  </w:num>
  <w:num w:numId="69">
    <w:abstractNumId w:val="63"/>
  </w:num>
  <w:num w:numId="70">
    <w:abstractNumId w:val="60"/>
  </w:num>
  <w:num w:numId="71">
    <w:abstractNumId w:val="15"/>
  </w:num>
  <w:num w:numId="72">
    <w:abstractNumId w:val="61"/>
  </w:num>
  <w:num w:numId="73">
    <w:abstractNumId w:val="14"/>
  </w:num>
  <w:num w:numId="74">
    <w:abstractNumId w:val="11"/>
  </w:num>
  <w:num w:numId="75">
    <w:abstractNumId w:val="73"/>
  </w:num>
  <w:num w:numId="76">
    <w:abstractNumId w:val="72"/>
  </w:num>
  <w:num w:numId="77">
    <w:abstractNumId w:val="74"/>
  </w:num>
  <w:num w:numId="78">
    <w:abstractNumId w:val="40"/>
  </w:num>
  <w:num w:numId="79">
    <w:abstractNumId w:val="76"/>
  </w:num>
  <w:num w:numId="80">
    <w:abstractNumId w:val="33"/>
  </w:num>
  <w:num w:numId="81">
    <w:abstractNumId w:val="21"/>
  </w:num>
  <w:num w:numId="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34" w:default="1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135">
    <w:name w:val="Heading 1"/>
    <w:basedOn w:val="1134"/>
    <w:next w:val="1134"/>
    <w:link w:val="1148"/>
    <w:uiPriority w:val="9"/>
    <w:qFormat/>
    <w:pPr>
      <w:numPr>
        <w:ilvl w:val="0"/>
        <w:numId w:val="48"/>
      </w:numPr>
      <w:jc w:val="center"/>
      <w:keepNext/>
      <w:spacing w:before="120"/>
      <w:outlineLvl w:val="0"/>
    </w:pPr>
    <w:rPr>
      <w:b/>
      <w:color w:val="000080"/>
      <w:sz w:val="24"/>
    </w:rPr>
  </w:style>
  <w:style w:type="paragraph" w:styleId="1136">
    <w:name w:val="Heading 2"/>
    <w:basedOn w:val="1134"/>
    <w:next w:val="1134"/>
    <w:link w:val="1149"/>
    <w:uiPriority w:val="9"/>
    <w:unhideWhenUsed/>
    <w:qFormat/>
    <w:pPr>
      <w:numPr>
        <w:ilvl w:val="1"/>
        <w:numId w:val="48"/>
      </w:num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1137">
    <w:name w:val="Heading 3"/>
    <w:basedOn w:val="1134"/>
    <w:next w:val="1134"/>
    <w:link w:val="1150"/>
    <w:uiPriority w:val="9"/>
    <w:unhideWhenUsed/>
    <w:qFormat/>
    <w:pPr>
      <w:numPr>
        <w:ilvl w:val="2"/>
        <w:numId w:val="48"/>
      </w:num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138">
    <w:name w:val="Heading 4"/>
    <w:basedOn w:val="1134"/>
    <w:next w:val="1134"/>
    <w:link w:val="1151"/>
    <w:uiPriority w:val="9"/>
    <w:qFormat/>
    <w:pPr>
      <w:numPr>
        <w:ilvl w:val="3"/>
        <w:numId w:val="48"/>
      </w:numPr>
      <w:keepNext/>
      <w:spacing w:line="216" w:lineRule="auto"/>
      <w:tabs>
        <w:tab w:val="left" w:pos="1276" w:leader="none"/>
      </w:tabs>
      <w:outlineLvl w:val="3"/>
    </w:pPr>
    <w:rPr>
      <w:color w:val="000080"/>
      <w:sz w:val="26"/>
    </w:rPr>
  </w:style>
  <w:style w:type="paragraph" w:styleId="1139">
    <w:name w:val="Heading 5"/>
    <w:basedOn w:val="1134"/>
    <w:next w:val="1134"/>
    <w:link w:val="1152"/>
    <w:uiPriority w:val="9"/>
    <w:unhideWhenUsed/>
    <w:qFormat/>
    <w:pPr>
      <w:numPr>
        <w:ilvl w:val="4"/>
        <w:numId w:val="48"/>
      </w:num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140">
    <w:name w:val="Heading 6"/>
    <w:basedOn w:val="1134"/>
    <w:next w:val="1134"/>
    <w:link w:val="1153"/>
    <w:uiPriority w:val="9"/>
    <w:unhideWhenUsed/>
    <w:qFormat/>
    <w:pPr>
      <w:numPr>
        <w:ilvl w:val="5"/>
        <w:numId w:val="48"/>
      </w:num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1141">
    <w:name w:val="Heading 7"/>
    <w:basedOn w:val="1134"/>
    <w:next w:val="1134"/>
    <w:link w:val="1154"/>
    <w:uiPriority w:val="9"/>
    <w:unhideWhenUsed/>
    <w:qFormat/>
    <w:pPr>
      <w:numPr>
        <w:ilvl w:val="6"/>
        <w:numId w:val="48"/>
      </w:num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142">
    <w:name w:val="Heading 8"/>
    <w:basedOn w:val="1134"/>
    <w:next w:val="1134"/>
    <w:link w:val="1155"/>
    <w:uiPriority w:val="9"/>
    <w:unhideWhenUsed/>
    <w:qFormat/>
    <w:pPr>
      <w:numPr>
        <w:ilvl w:val="7"/>
        <w:numId w:val="48"/>
      </w:num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143">
    <w:name w:val="Heading 9"/>
    <w:basedOn w:val="1134"/>
    <w:next w:val="1134"/>
    <w:link w:val="1156"/>
    <w:uiPriority w:val="9"/>
    <w:unhideWhenUsed/>
    <w:qFormat/>
    <w:pPr>
      <w:numPr>
        <w:ilvl w:val="8"/>
        <w:numId w:val="48"/>
      </w:num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144" w:default="1">
    <w:name w:val="Default Paragraph Font"/>
    <w:uiPriority w:val="1"/>
    <w:semiHidden/>
    <w:unhideWhenUsed/>
  </w:style>
  <w:style w:type="table" w:styleId="11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46" w:default="1">
    <w:name w:val="No List"/>
    <w:uiPriority w:val="99"/>
    <w:semiHidden/>
    <w:unhideWhenUsed/>
  </w:style>
  <w:style w:type="character" w:styleId="1147" w:customStyle="1">
    <w:name w:val="Caption Char"/>
    <w:uiPriority w:val="99"/>
  </w:style>
  <w:style w:type="character" w:styleId="1148" w:customStyle="1">
    <w:name w:val="Заголовок 1 Знак"/>
    <w:link w:val="1135"/>
    <w:uiPriority w:val="9"/>
    <w:qFormat/>
    <w:rPr>
      <w:rFonts w:eastAsia="Times New Roman" w:cs="Times New Roman"/>
      <w:b/>
      <w:color w:val="000080"/>
      <w:szCs w:val="20"/>
      <w:lang w:val="ru-RU" w:bidi="ar-SA"/>
    </w:rPr>
  </w:style>
  <w:style w:type="character" w:styleId="1149" w:customStyle="1">
    <w:name w:val="Заголовок 2 Знак"/>
    <w:link w:val="1136"/>
    <w:uiPriority w:val="9"/>
    <w:rPr>
      <w:rFonts w:ascii="Arial" w:hAnsi="Arial" w:eastAsia="Arial" w:cs="Arial"/>
      <w:sz w:val="34"/>
      <w:szCs w:val="20"/>
      <w:lang w:val="ru-RU" w:bidi="ar-SA"/>
    </w:rPr>
  </w:style>
  <w:style w:type="character" w:styleId="1150" w:customStyle="1">
    <w:name w:val="Заголовок 3 Знак"/>
    <w:link w:val="1137"/>
    <w:uiPriority w:val="9"/>
    <w:rPr>
      <w:rFonts w:ascii="Arial" w:hAnsi="Arial" w:eastAsia="Arial" w:cs="Arial"/>
      <w:sz w:val="30"/>
      <w:szCs w:val="30"/>
      <w:lang w:val="ru-RU" w:bidi="ar-SA"/>
    </w:rPr>
  </w:style>
  <w:style w:type="character" w:styleId="1151" w:customStyle="1">
    <w:name w:val="Заголовок 4 Знак"/>
    <w:link w:val="1138"/>
    <w:uiPriority w:val="9"/>
    <w:rPr>
      <w:rFonts w:eastAsia="Times New Roman" w:cs="Times New Roman"/>
      <w:color w:val="000080"/>
      <w:sz w:val="26"/>
      <w:szCs w:val="20"/>
      <w:lang w:val="ru-RU" w:bidi="ar-SA"/>
    </w:rPr>
  </w:style>
  <w:style w:type="character" w:styleId="1152" w:customStyle="1">
    <w:name w:val="Заголовок 5 Знак"/>
    <w:link w:val="1139"/>
    <w:uiPriority w:val="9"/>
    <w:rPr>
      <w:rFonts w:ascii="Arial" w:hAnsi="Arial" w:eastAsia="Arial" w:cs="Arial"/>
      <w:b/>
      <w:bCs/>
      <w:lang w:val="ru-RU" w:bidi="ar-SA"/>
    </w:rPr>
  </w:style>
  <w:style w:type="character" w:styleId="1153" w:customStyle="1">
    <w:name w:val="Заголовок 6 Знак"/>
    <w:link w:val="1140"/>
    <w:uiPriority w:val="9"/>
    <w:rPr>
      <w:rFonts w:ascii="Arial" w:hAnsi="Arial" w:eastAsia="Arial" w:cs="Arial"/>
      <w:b/>
      <w:bCs/>
      <w:sz w:val="22"/>
      <w:szCs w:val="22"/>
      <w:lang w:val="ru-RU" w:bidi="ar-SA"/>
    </w:rPr>
  </w:style>
  <w:style w:type="character" w:styleId="1154" w:customStyle="1">
    <w:name w:val="Заголовок 7 Знак"/>
    <w:link w:val="1141"/>
    <w:uiPriority w:val="9"/>
    <w:rPr>
      <w:rFonts w:ascii="Arial" w:hAnsi="Arial" w:eastAsia="Arial" w:cs="Arial"/>
      <w:b/>
      <w:bCs/>
      <w:i/>
      <w:iCs/>
      <w:sz w:val="22"/>
      <w:szCs w:val="22"/>
      <w:lang w:val="ru-RU" w:bidi="ar-SA"/>
    </w:rPr>
  </w:style>
  <w:style w:type="character" w:styleId="1155" w:customStyle="1">
    <w:name w:val="Заголовок 8 Знак"/>
    <w:link w:val="1142"/>
    <w:uiPriority w:val="9"/>
    <w:qFormat/>
    <w:rPr>
      <w:rFonts w:ascii="Arial" w:hAnsi="Arial" w:eastAsia="Arial" w:cs="Arial"/>
      <w:i/>
      <w:iCs/>
      <w:sz w:val="22"/>
      <w:szCs w:val="22"/>
      <w:lang w:val="ru-RU" w:bidi="ar-SA"/>
    </w:rPr>
  </w:style>
  <w:style w:type="character" w:styleId="1156" w:customStyle="1">
    <w:name w:val="Заголовок 9 Знак"/>
    <w:link w:val="1143"/>
    <w:uiPriority w:val="9"/>
    <w:qFormat/>
    <w:rPr>
      <w:rFonts w:ascii="Arial" w:hAnsi="Arial" w:eastAsia="Arial" w:cs="Arial"/>
      <w:i/>
      <w:iCs/>
      <w:sz w:val="21"/>
      <w:szCs w:val="21"/>
      <w:lang w:val="ru-RU" w:bidi="ar-SA"/>
    </w:rPr>
  </w:style>
  <w:style w:type="paragraph" w:styleId="1157">
    <w:name w:val="List Paragraph"/>
    <w:basedOn w:val="1134"/>
    <w:link w:val="1405"/>
    <w:uiPriority w:val="34"/>
    <w:qFormat/>
    <w:pPr>
      <w:contextualSpacing/>
      <w:ind w:left="720"/>
    </w:pPr>
  </w:style>
  <w:style w:type="paragraph" w:styleId="1158">
    <w:name w:val="No Spacing"/>
    <w:link w:val="1398"/>
    <w:uiPriority w:val="1"/>
    <w:qFormat/>
  </w:style>
  <w:style w:type="paragraph" w:styleId="1159">
    <w:name w:val="Title"/>
    <w:basedOn w:val="1134"/>
    <w:next w:val="1134"/>
    <w:link w:val="11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160" w:customStyle="1">
    <w:name w:val="Заголовок Знак"/>
    <w:link w:val="1159"/>
    <w:uiPriority w:val="10"/>
    <w:qFormat/>
    <w:rPr>
      <w:sz w:val="48"/>
      <w:szCs w:val="48"/>
    </w:rPr>
  </w:style>
  <w:style w:type="paragraph" w:styleId="1161">
    <w:name w:val="Subtitle"/>
    <w:basedOn w:val="1134"/>
    <w:next w:val="1134"/>
    <w:link w:val="1162"/>
    <w:uiPriority w:val="11"/>
    <w:qFormat/>
    <w:pPr>
      <w:spacing w:before="200" w:after="200"/>
    </w:pPr>
    <w:rPr>
      <w:sz w:val="24"/>
      <w:szCs w:val="24"/>
    </w:rPr>
  </w:style>
  <w:style w:type="character" w:styleId="1162" w:customStyle="1">
    <w:name w:val="Подзаголовок Знак"/>
    <w:link w:val="1161"/>
    <w:uiPriority w:val="11"/>
    <w:rPr>
      <w:sz w:val="24"/>
      <w:szCs w:val="24"/>
    </w:rPr>
  </w:style>
  <w:style w:type="paragraph" w:styleId="1163">
    <w:name w:val="Quote"/>
    <w:basedOn w:val="1134"/>
    <w:next w:val="1134"/>
    <w:link w:val="1164"/>
    <w:uiPriority w:val="29"/>
    <w:qFormat/>
    <w:pPr>
      <w:ind w:left="720" w:right="720"/>
    </w:pPr>
    <w:rPr>
      <w:i/>
    </w:rPr>
  </w:style>
  <w:style w:type="character" w:styleId="1164" w:customStyle="1">
    <w:name w:val="Цитата 2 Знак"/>
    <w:link w:val="1163"/>
    <w:uiPriority w:val="29"/>
    <w:qFormat/>
    <w:rPr>
      <w:i/>
    </w:rPr>
  </w:style>
  <w:style w:type="paragraph" w:styleId="1165">
    <w:name w:val="Intense Quote"/>
    <w:basedOn w:val="1134"/>
    <w:next w:val="1134"/>
    <w:link w:val="116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66" w:customStyle="1">
    <w:name w:val="Выделенная цитата Знак"/>
    <w:link w:val="1165"/>
    <w:uiPriority w:val="30"/>
    <w:qFormat/>
    <w:rPr>
      <w:i/>
    </w:rPr>
  </w:style>
  <w:style w:type="paragraph" w:styleId="1167">
    <w:name w:val="Header"/>
    <w:basedOn w:val="1134"/>
    <w:link w:val="1168"/>
    <w:uiPriority w:val="99"/>
    <w:unhideWhenUsed/>
    <w:qFormat/>
    <w:pPr>
      <w:tabs>
        <w:tab w:val="center" w:pos="7143" w:leader="none"/>
        <w:tab w:val="right" w:pos="14287" w:leader="none"/>
      </w:tabs>
    </w:pPr>
  </w:style>
  <w:style w:type="character" w:styleId="1168" w:customStyle="1">
    <w:name w:val="Верхний колонтитул Знак"/>
    <w:link w:val="1167"/>
    <w:uiPriority w:val="99"/>
  </w:style>
  <w:style w:type="paragraph" w:styleId="1169">
    <w:name w:val="Footer"/>
    <w:basedOn w:val="1134"/>
    <w:link w:val="1171"/>
    <w:uiPriority w:val="99"/>
    <w:unhideWhenUsed/>
    <w:qFormat/>
    <w:pPr>
      <w:tabs>
        <w:tab w:val="center" w:pos="7143" w:leader="none"/>
        <w:tab w:val="right" w:pos="14287" w:leader="none"/>
      </w:tabs>
    </w:pPr>
  </w:style>
  <w:style w:type="character" w:styleId="1170" w:customStyle="1">
    <w:name w:val="Footer Char"/>
    <w:uiPriority w:val="99"/>
  </w:style>
  <w:style w:type="character" w:styleId="1171" w:customStyle="1">
    <w:name w:val="Нижний колонтитул Знак"/>
    <w:link w:val="1169"/>
    <w:uiPriority w:val="99"/>
    <w:qFormat/>
  </w:style>
  <w:style w:type="table" w:styleId="1172">
    <w:name w:val="Table Grid"/>
    <w:uiPriority w:val="59"/>
    <w:qFormat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73" w:customStyle="1">
    <w:name w:val="Table Grid Light"/>
    <w:uiPriority w:val="59"/>
    <w:qFormat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74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75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76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77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8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79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0" w:customStyle="1">
    <w:name w:val="Grid Table 1 Light - Accent 1"/>
    <w:uiPriority w:val="99"/>
    <w:qFormat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1" w:customStyle="1">
    <w:name w:val="Grid Table 1 Light - Accent 2"/>
    <w:uiPriority w:val="99"/>
    <w:qFormat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2" w:customStyle="1">
    <w:name w:val="Grid Table 1 Light - Accent 3"/>
    <w:uiPriority w:val="99"/>
    <w:qFormat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3" w:customStyle="1">
    <w:name w:val="Grid Table 1 Light - Accent 4"/>
    <w:uiPriority w:val="99"/>
    <w:qFormat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4" w:customStyle="1">
    <w:name w:val="Grid Table 1 Light - Accent 5"/>
    <w:uiPriority w:val="99"/>
    <w:qFormat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5" w:customStyle="1">
    <w:name w:val="Grid Table 1 Light - Accent 6"/>
    <w:uiPriority w:val="99"/>
    <w:qFormat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6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 w:customStyle="1">
    <w:name w:val="Grid Table 2 - Accent 1"/>
    <w:uiPriority w:val="99"/>
    <w:qFormat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 w:customStyle="1">
    <w:name w:val="Grid Table 2 - Accent 2"/>
    <w:uiPriority w:val="99"/>
    <w:qFormat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9" w:customStyle="1">
    <w:name w:val="Grid Table 2 - Accent 3"/>
    <w:uiPriority w:val="99"/>
    <w:qFormat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0" w:customStyle="1">
    <w:name w:val="Grid Table 2 - Accent 4"/>
    <w:uiPriority w:val="99"/>
    <w:qFormat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1" w:customStyle="1">
    <w:name w:val="Grid Table 2 - Accent 5"/>
    <w:uiPriority w:val="99"/>
    <w:qFormat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2" w:customStyle="1">
    <w:name w:val="Grid Table 2 - Accent 6"/>
    <w:uiPriority w:val="99"/>
    <w:qFormat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3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4" w:customStyle="1">
    <w:name w:val="Grid Table 3 - Accent 1"/>
    <w:uiPriority w:val="99"/>
    <w:qFormat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5" w:customStyle="1">
    <w:name w:val="Grid Table 3 - Accent 2"/>
    <w:uiPriority w:val="99"/>
    <w:qFormat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6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7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8" w:customStyle="1">
    <w:name w:val="Grid Table 3 - Accent 5"/>
    <w:uiPriority w:val="99"/>
    <w:qFormat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9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0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201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202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203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204" w:customStyle="1">
    <w:name w:val="Grid Table 4 - Accent 4"/>
    <w:uiPriority w:val="59"/>
    <w:qFormat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205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206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207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208" w:customStyle="1">
    <w:name w:val="Grid Table 5 Dark- Accent 1"/>
    <w:uiPriority w:val="99"/>
    <w:qFormat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209" w:customStyle="1">
    <w:name w:val="Grid Table 5 Dark - Accent 2"/>
    <w:uiPriority w:val="99"/>
    <w:qFormat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210" w:customStyle="1">
    <w:name w:val="Grid Table 5 Dark - Accent 3"/>
    <w:uiPriority w:val="99"/>
    <w:qFormat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211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212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213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214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215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216" w:customStyle="1">
    <w:name w:val="Grid Table 6 Colorful - Accent 2"/>
    <w:uiPriority w:val="99"/>
    <w:qFormat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217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218" w:customStyle="1">
    <w:name w:val="Grid Table 6 Colorful - Accent 4"/>
    <w:uiPriority w:val="99"/>
    <w:qFormat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219" w:customStyle="1">
    <w:name w:val="Grid Table 6 Colorful - Accent 5"/>
    <w:uiPriority w:val="99"/>
    <w:qFormat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220" w:customStyle="1">
    <w:name w:val="Grid Table 6 Colorful - Accent 6"/>
    <w:uiPriority w:val="99"/>
    <w:qFormat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22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2" w:customStyle="1">
    <w:name w:val="Grid Table 7 Colorful - Accent 1"/>
    <w:uiPriority w:val="99"/>
    <w:qFormat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3" w:customStyle="1">
    <w:name w:val="Grid Table 7 Colorful - Accent 2"/>
    <w:uiPriority w:val="99"/>
    <w:qFormat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4" w:customStyle="1">
    <w:name w:val="Grid Table 7 Colorful - Accent 3"/>
    <w:uiPriority w:val="99"/>
    <w:qFormat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5" w:customStyle="1">
    <w:name w:val="Grid Table 7 Colorful - Accent 4"/>
    <w:uiPriority w:val="99"/>
    <w:qFormat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6" w:customStyle="1">
    <w:name w:val="Grid Table 7 Colorful - Accent 5"/>
    <w:uiPriority w:val="99"/>
    <w:qFormat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7" w:customStyle="1">
    <w:name w:val="Grid Table 7 Colorful - Accent 6"/>
    <w:uiPriority w:val="99"/>
    <w:qFormat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8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9" w:customStyle="1">
    <w:name w:val="List Table 1 Light - Accent 1"/>
    <w:uiPriority w:val="99"/>
    <w:qFormat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0" w:customStyle="1">
    <w:name w:val="List Table 1 Light - Accent 2"/>
    <w:uiPriority w:val="99"/>
    <w:qFormat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1" w:customStyle="1">
    <w:name w:val="List Table 1 Light - Accent 3"/>
    <w:uiPriority w:val="99"/>
    <w:qFormat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2" w:customStyle="1">
    <w:name w:val="List Table 1 Light - Accent 4"/>
    <w:uiPriority w:val="99"/>
    <w:qFormat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3" w:customStyle="1">
    <w:name w:val="List Table 1 Light - Accent 5"/>
    <w:uiPriority w:val="99"/>
    <w:qFormat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4" w:customStyle="1">
    <w:name w:val="List Table 1 Light - Accent 6"/>
    <w:uiPriority w:val="99"/>
    <w:qFormat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5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236" w:customStyle="1">
    <w:name w:val="List Table 2 - Accent 1"/>
    <w:uiPriority w:val="99"/>
    <w:qFormat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237" w:customStyle="1">
    <w:name w:val="List Table 2 - Accent 2"/>
    <w:uiPriority w:val="99"/>
    <w:qFormat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238" w:customStyle="1">
    <w:name w:val="List Table 2 - Accent 3"/>
    <w:uiPriority w:val="99"/>
    <w:qFormat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239" w:customStyle="1">
    <w:name w:val="List Table 2 - Accent 4"/>
    <w:uiPriority w:val="99"/>
    <w:qFormat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240" w:customStyle="1">
    <w:name w:val="List Table 2 - Accent 5"/>
    <w:uiPriority w:val="99"/>
    <w:qFormat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241" w:customStyle="1">
    <w:name w:val="List Table 2 - Accent 6"/>
    <w:uiPriority w:val="99"/>
    <w:qFormat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242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3" w:customStyle="1">
    <w:name w:val="List Table 3 - Accent 1"/>
    <w:uiPriority w:val="99"/>
    <w:qFormat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4" w:customStyle="1">
    <w:name w:val="List Table 3 - Accent 2"/>
    <w:uiPriority w:val="99"/>
    <w:qFormat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5" w:customStyle="1">
    <w:name w:val="List Table 3 - Accent 3"/>
    <w:uiPriority w:val="99"/>
    <w:qFormat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6" w:customStyle="1">
    <w:name w:val="List Table 3 - Accent 4"/>
    <w:uiPriority w:val="99"/>
    <w:qFormat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7" w:customStyle="1">
    <w:name w:val="List Table 3 - Accent 5"/>
    <w:uiPriority w:val="99"/>
    <w:qFormat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8" w:customStyle="1">
    <w:name w:val="List Table 3 - Accent 6"/>
    <w:uiPriority w:val="99"/>
    <w:qFormat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9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0" w:customStyle="1">
    <w:name w:val="List Table 4 - Accent 1"/>
    <w:uiPriority w:val="99"/>
    <w:qFormat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1" w:customStyle="1">
    <w:name w:val="List Table 4 - Accent 2"/>
    <w:uiPriority w:val="99"/>
    <w:qFormat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2" w:customStyle="1">
    <w:name w:val="List Table 4 - Accent 3"/>
    <w:uiPriority w:val="99"/>
    <w:qFormat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3" w:customStyle="1">
    <w:name w:val="List Table 4 - Accent 4"/>
    <w:uiPriority w:val="99"/>
    <w:qFormat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4" w:customStyle="1">
    <w:name w:val="List Table 4 - Accent 5"/>
    <w:uiPriority w:val="99"/>
    <w:qFormat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5" w:customStyle="1">
    <w:name w:val="List Table 4 - Accent 6"/>
    <w:uiPriority w:val="99"/>
    <w:qFormat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6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7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8" w:customStyle="1">
    <w:name w:val="List Table 5 Dark - Accent 2"/>
    <w:uiPriority w:val="99"/>
    <w:qFormat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9" w:customStyle="1">
    <w:name w:val="List Table 5 Dark - Accent 3"/>
    <w:uiPriority w:val="99"/>
    <w:qFormat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60" w:customStyle="1">
    <w:name w:val="List Table 5 Dark - Accent 4"/>
    <w:uiPriority w:val="99"/>
    <w:qFormat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61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62" w:customStyle="1">
    <w:name w:val="List Table 5 Dark - Accent 6"/>
    <w:uiPriority w:val="99"/>
    <w:qFormat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63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264" w:customStyle="1">
    <w:name w:val="List Table 6 Colorful - Accent 1"/>
    <w:uiPriority w:val="99"/>
    <w:qFormat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265" w:customStyle="1">
    <w:name w:val="List Table 6 Colorful - Accent 2"/>
    <w:uiPriority w:val="99"/>
    <w:qFormat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266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267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268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269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270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1" w:customStyle="1">
    <w:name w:val="List Table 7 Colorful - Accent 1"/>
    <w:uiPriority w:val="99"/>
    <w:qFormat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2" w:customStyle="1">
    <w:name w:val="List Table 7 Colorful - Accent 2"/>
    <w:uiPriority w:val="99"/>
    <w:qFormat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3" w:customStyle="1">
    <w:name w:val="List Table 7 Colorful - Accent 3"/>
    <w:uiPriority w:val="99"/>
    <w:qFormat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4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5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6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7" w:customStyle="1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78" w:customStyle="1">
    <w:name w:val="Lined - Accent 1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279" w:customStyle="1">
    <w:name w:val="Lined - Accent 2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280" w:customStyle="1">
    <w:name w:val="Lined - Accent 3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281" w:customStyle="1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282" w:customStyle="1">
    <w:name w:val="Lined - Accent 5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283" w:customStyle="1">
    <w:name w:val="Lined - Accent 6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284" w:customStyle="1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85" w:customStyle="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286" w:customStyle="1">
    <w:name w:val="Bordered &amp; Lined - Accent 2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287" w:customStyle="1">
    <w:name w:val="Bordered &amp; Lined - Accent 3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288" w:customStyle="1">
    <w:name w:val="Bordered &amp; Lined - Accent 4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289" w:customStyle="1">
    <w:name w:val="Bordered &amp; Lined - Accent 5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290" w:customStyle="1">
    <w:name w:val="Bordered &amp; Lined - Accent 6"/>
    <w:uiPriority w:val="99"/>
    <w:qFormat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291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292" w:customStyle="1">
    <w:name w:val="Bordered - Accent 1"/>
    <w:uiPriority w:val="99"/>
    <w:qFormat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293" w:customStyle="1">
    <w:name w:val="Bordered - Accent 2"/>
    <w:uiPriority w:val="99"/>
    <w:qFormat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294" w:customStyle="1">
    <w:name w:val="Bordered - Accent 3"/>
    <w:uiPriority w:val="99"/>
    <w:qFormat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295" w:customStyle="1">
    <w:name w:val="Bordered - Accent 4"/>
    <w:uiPriority w:val="99"/>
    <w:qFormat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296" w:customStyle="1">
    <w:name w:val="Bordered - Accent 5"/>
    <w:uiPriority w:val="99"/>
    <w:qFormat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297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298">
    <w:name w:val="footnote text"/>
    <w:basedOn w:val="1134"/>
    <w:link w:val="1299"/>
    <w:uiPriority w:val="99"/>
    <w:unhideWhenUsed/>
    <w:qFormat/>
    <w:pPr>
      <w:spacing w:after="40"/>
    </w:pPr>
    <w:rPr>
      <w:sz w:val="18"/>
    </w:rPr>
  </w:style>
  <w:style w:type="character" w:styleId="1299" w:customStyle="1">
    <w:name w:val="Текст сноски Знак"/>
    <w:link w:val="1298"/>
    <w:uiPriority w:val="99"/>
    <w:qFormat/>
    <w:rPr>
      <w:sz w:val="18"/>
    </w:rPr>
  </w:style>
  <w:style w:type="character" w:styleId="1300">
    <w:name w:val="footnote reference"/>
    <w:uiPriority w:val="99"/>
    <w:unhideWhenUsed/>
    <w:qFormat/>
    <w:rPr>
      <w:vertAlign w:val="superscript"/>
    </w:rPr>
  </w:style>
  <w:style w:type="paragraph" w:styleId="1301">
    <w:name w:val="endnote text"/>
    <w:basedOn w:val="1134"/>
    <w:link w:val="1302"/>
    <w:uiPriority w:val="99"/>
    <w:unhideWhenUsed/>
    <w:qFormat/>
  </w:style>
  <w:style w:type="character" w:styleId="1302" w:customStyle="1">
    <w:name w:val="Текст концевой сноски Знак"/>
    <w:link w:val="1301"/>
    <w:uiPriority w:val="99"/>
    <w:qFormat/>
    <w:rPr>
      <w:sz w:val="20"/>
    </w:rPr>
  </w:style>
  <w:style w:type="character" w:styleId="1303">
    <w:name w:val="endnote reference"/>
    <w:uiPriority w:val="99"/>
    <w:semiHidden/>
    <w:unhideWhenUsed/>
    <w:qFormat/>
    <w:rPr>
      <w:vertAlign w:val="superscript"/>
    </w:rPr>
  </w:style>
  <w:style w:type="paragraph" w:styleId="1304">
    <w:name w:val="toc 1"/>
    <w:basedOn w:val="1134"/>
    <w:next w:val="1134"/>
    <w:uiPriority w:val="39"/>
    <w:unhideWhenUsed/>
    <w:qFormat/>
    <w:pPr>
      <w:spacing w:after="57"/>
    </w:pPr>
  </w:style>
  <w:style w:type="paragraph" w:styleId="1305">
    <w:name w:val="toc 2"/>
    <w:basedOn w:val="1134"/>
    <w:next w:val="1134"/>
    <w:uiPriority w:val="39"/>
    <w:unhideWhenUsed/>
    <w:qFormat/>
    <w:pPr>
      <w:ind w:left="283"/>
      <w:spacing w:after="57"/>
    </w:pPr>
  </w:style>
  <w:style w:type="paragraph" w:styleId="1306">
    <w:name w:val="toc 3"/>
    <w:basedOn w:val="1134"/>
    <w:next w:val="1134"/>
    <w:uiPriority w:val="39"/>
    <w:unhideWhenUsed/>
    <w:qFormat/>
    <w:pPr>
      <w:ind w:left="567"/>
      <w:spacing w:after="57"/>
    </w:pPr>
  </w:style>
  <w:style w:type="paragraph" w:styleId="1307">
    <w:name w:val="toc 4"/>
    <w:basedOn w:val="1134"/>
    <w:next w:val="1134"/>
    <w:uiPriority w:val="39"/>
    <w:unhideWhenUsed/>
    <w:qFormat/>
    <w:pPr>
      <w:ind w:left="850"/>
      <w:spacing w:after="57"/>
    </w:pPr>
  </w:style>
  <w:style w:type="paragraph" w:styleId="1308">
    <w:name w:val="toc 5"/>
    <w:basedOn w:val="1134"/>
    <w:next w:val="1134"/>
    <w:uiPriority w:val="39"/>
    <w:unhideWhenUsed/>
    <w:qFormat/>
    <w:pPr>
      <w:ind w:left="1134"/>
      <w:spacing w:after="57"/>
    </w:pPr>
  </w:style>
  <w:style w:type="paragraph" w:styleId="1309">
    <w:name w:val="toc 6"/>
    <w:basedOn w:val="1134"/>
    <w:next w:val="1134"/>
    <w:uiPriority w:val="39"/>
    <w:unhideWhenUsed/>
    <w:qFormat/>
    <w:pPr>
      <w:ind w:left="1417"/>
      <w:spacing w:after="57"/>
    </w:pPr>
  </w:style>
  <w:style w:type="paragraph" w:styleId="1310">
    <w:name w:val="toc 7"/>
    <w:basedOn w:val="1134"/>
    <w:next w:val="1134"/>
    <w:uiPriority w:val="39"/>
    <w:unhideWhenUsed/>
    <w:qFormat/>
    <w:pPr>
      <w:ind w:left="1701"/>
      <w:spacing w:after="57"/>
    </w:pPr>
  </w:style>
  <w:style w:type="paragraph" w:styleId="1311">
    <w:name w:val="toc 8"/>
    <w:basedOn w:val="1134"/>
    <w:next w:val="1134"/>
    <w:uiPriority w:val="39"/>
    <w:unhideWhenUsed/>
    <w:qFormat/>
    <w:pPr>
      <w:ind w:left="1984"/>
      <w:spacing w:after="57"/>
    </w:pPr>
  </w:style>
  <w:style w:type="paragraph" w:styleId="1312">
    <w:name w:val="toc 9"/>
    <w:basedOn w:val="1134"/>
    <w:next w:val="1134"/>
    <w:uiPriority w:val="39"/>
    <w:unhideWhenUsed/>
    <w:qFormat/>
    <w:pPr>
      <w:ind w:left="2268"/>
      <w:spacing w:after="57"/>
    </w:pPr>
  </w:style>
  <w:style w:type="paragraph" w:styleId="1313">
    <w:name w:val="TOC Heading"/>
    <w:uiPriority w:val="39"/>
    <w:unhideWhenUsed/>
    <w:qFormat/>
  </w:style>
  <w:style w:type="paragraph" w:styleId="1314">
    <w:name w:val="table of figures"/>
    <w:basedOn w:val="1134"/>
    <w:next w:val="1134"/>
    <w:uiPriority w:val="99"/>
    <w:unhideWhenUsed/>
  </w:style>
  <w:style w:type="character" w:styleId="1315" w:customStyle="1">
    <w:name w:val="WW8Num1z0"/>
    <w:qFormat/>
  </w:style>
  <w:style w:type="character" w:styleId="1316" w:customStyle="1">
    <w:name w:val="WW8Num2z0"/>
    <w:qFormat/>
  </w:style>
  <w:style w:type="character" w:styleId="1317">
    <w:name w:val="Hyperlink"/>
    <w:uiPriority w:val="99"/>
    <w:qFormat/>
    <w:rPr>
      <w:color w:val="0000ff"/>
      <w:u w:val="single"/>
    </w:rPr>
  </w:style>
  <w:style w:type="character" w:styleId="1318">
    <w:name w:val="FollowedHyperlink"/>
    <w:uiPriority w:val="99"/>
    <w:rPr>
      <w:color w:val="800080"/>
      <w:u w:val="single"/>
    </w:rPr>
  </w:style>
  <w:style w:type="character" w:styleId="1319" w:customStyle="1">
    <w:name w:val="Текст выноски Знак"/>
    <w:uiPriority w:val="99"/>
    <w:qFormat/>
    <w:rPr>
      <w:rFonts w:ascii="Segoe UI" w:hAnsi="Segoe UI" w:cs="Segoe UI"/>
      <w:sz w:val="18"/>
      <w:szCs w:val="18"/>
    </w:rPr>
  </w:style>
  <w:style w:type="paragraph" w:styleId="1320" w:customStyle="1">
    <w:name w:val="Heading"/>
    <w:basedOn w:val="1134"/>
    <w:next w:val="1321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1321">
    <w:name w:val="Body Text"/>
    <w:basedOn w:val="1134"/>
    <w:link w:val="1375"/>
    <w:uiPriority w:val="1"/>
    <w:qFormat/>
    <w:pPr>
      <w:spacing w:after="140" w:line="276" w:lineRule="auto"/>
    </w:pPr>
  </w:style>
  <w:style w:type="paragraph" w:styleId="1322">
    <w:name w:val="List"/>
    <w:basedOn w:val="1321"/>
  </w:style>
  <w:style w:type="paragraph" w:styleId="1323">
    <w:name w:val="Caption"/>
    <w:basedOn w:val="1134"/>
    <w:next w:val="1134"/>
    <w:link w:val="1372"/>
    <w:uiPriority w:val="35"/>
    <w:qFormat/>
    <w:pPr>
      <w:ind w:left="1600" w:right="2200"/>
      <w:jc w:val="center"/>
      <w:spacing w:before="40"/>
    </w:pPr>
    <w:rPr>
      <w:color w:val="000080"/>
      <w:sz w:val="24"/>
    </w:rPr>
  </w:style>
  <w:style w:type="paragraph" w:styleId="1324" w:customStyle="1">
    <w:name w:val="Index"/>
    <w:basedOn w:val="1134"/>
    <w:qFormat/>
    <w:pPr>
      <w:suppressLineNumbers/>
    </w:pPr>
  </w:style>
  <w:style w:type="paragraph" w:styleId="1325">
    <w:name w:val="Balloon Text"/>
    <w:basedOn w:val="1134"/>
    <w:uiPriority w:val="99"/>
    <w:qFormat/>
    <w:rPr>
      <w:rFonts w:ascii="Segoe UI" w:hAnsi="Segoe UI" w:cs="Segoe UI"/>
      <w:sz w:val="18"/>
      <w:szCs w:val="18"/>
    </w:rPr>
  </w:style>
  <w:style w:type="numbering" w:styleId="1326" w:customStyle="1">
    <w:name w:val="WW8Num1"/>
    <w:qFormat/>
  </w:style>
  <w:style w:type="numbering" w:styleId="1327" w:customStyle="1">
    <w:name w:val="WW8Num2"/>
    <w:qFormat/>
  </w:style>
  <w:style w:type="paragraph" w:styleId="1328">
    <w:name w:val="Revision"/>
    <w:hidden/>
    <w:uiPriority w:val="99"/>
    <w:semiHidden/>
    <w:rPr>
      <w:rFonts w:eastAsia="Times New Roman" w:cs="Times New Roman"/>
      <w:sz w:val="20"/>
      <w:szCs w:val="20"/>
      <w:lang w:val="ru-RU" w:bidi="ar-SA"/>
    </w:rPr>
  </w:style>
  <w:style w:type="paragraph" w:styleId="1329">
    <w:name w:val="Normal (Web)"/>
    <w:basedOn w:val="1134"/>
    <w:uiPriority w:val="99"/>
    <w:unhideWhenUsed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1330">
    <w:name w:val="page number"/>
    <w:basedOn w:val="1144"/>
    <w:unhideWhenUsed/>
  </w:style>
  <w:style w:type="character" w:styleId="1331">
    <w:name w:val="annotation reference"/>
    <w:basedOn w:val="1144"/>
    <w:uiPriority w:val="99"/>
    <w:semiHidden/>
    <w:unhideWhenUsed/>
    <w:qFormat/>
    <w:rPr>
      <w:sz w:val="16"/>
      <w:szCs w:val="16"/>
    </w:rPr>
  </w:style>
  <w:style w:type="paragraph" w:styleId="1332">
    <w:name w:val="annotation text"/>
    <w:basedOn w:val="1134"/>
    <w:link w:val="1333"/>
    <w:uiPriority w:val="99"/>
    <w:unhideWhenUsed/>
    <w:qFormat/>
    <w:pPr>
      <w:spacing w:after="160"/>
    </w:pPr>
    <w:rPr>
      <w:rFonts w:asciiTheme="minorHAnsi" w:hAnsiTheme="minorHAnsi" w:eastAsiaTheme="minorHAnsi" w:cstheme="minorBidi"/>
      <w:lang w:eastAsia="en-US"/>
    </w:rPr>
  </w:style>
  <w:style w:type="character" w:styleId="1333" w:customStyle="1">
    <w:name w:val="Текст примечания Знак"/>
    <w:basedOn w:val="1144"/>
    <w:link w:val="1332"/>
    <w:uiPriority w:val="99"/>
    <w:qFormat/>
    <w:rPr>
      <w:rFonts w:asciiTheme="minorHAnsi" w:hAnsiTheme="minorHAnsi" w:eastAsiaTheme="minorHAnsi" w:cstheme="minorBidi"/>
      <w:sz w:val="20"/>
      <w:szCs w:val="20"/>
      <w:lang w:val="ru-RU" w:eastAsia="en-US" w:bidi="ar-SA"/>
    </w:rPr>
  </w:style>
  <w:style w:type="paragraph" w:styleId="1334">
    <w:name w:val="annotation subject"/>
    <w:basedOn w:val="1332"/>
    <w:next w:val="1332"/>
    <w:link w:val="1335"/>
    <w:uiPriority w:val="99"/>
    <w:semiHidden/>
    <w:unhideWhenUsed/>
    <w:qFormat/>
    <w:rPr>
      <w:b/>
      <w:bCs/>
    </w:rPr>
  </w:style>
  <w:style w:type="character" w:styleId="1335" w:customStyle="1">
    <w:name w:val="Тема примечания Знак"/>
    <w:basedOn w:val="1333"/>
    <w:link w:val="1334"/>
    <w:uiPriority w:val="99"/>
    <w:semiHidden/>
    <w:qFormat/>
    <w:rPr>
      <w:rFonts w:asciiTheme="minorHAnsi" w:hAnsiTheme="minorHAnsi" w:eastAsiaTheme="minorHAnsi" w:cstheme="minorBidi"/>
      <w:b/>
      <w:bCs/>
      <w:sz w:val="20"/>
      <w:szCs w:val="20"/>
      <w:lang w:val="ru-RU" w:eastAsia="en-US" w:bidi="ar-SA"/>
    </w:rPr>
  </w:style>
  <w:style w:type="table" w:styleId="1336" w:customStyle="1">
    <w:name w:val="Таблица простая 11"/>
    <w:basedOn w:val="1145"/>
    <w:uiPriority w:val="59"/>
    <w:qFormat/>
    <w:rPr>
      <w:rFonts w:eastAsia="SimSun" w:cs="Times New Roman"/>
      <w:sz w:val="20"/>
      <w:szCs w:val="20"/>
      <w:lang w:val="ru-RU" w:eastAsia="ru-RU" w:bidi="ar-SA"/>
    </w:r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37" w:customStyle="1">
    <w:name w:val="Таблица простая 21"/>
    <w:basedOn w:val="1145"/>
    <w:uiPriority w:val="59"/>
    <w:qFormat/>
    <w:rPr>
      <w:rFonts w:eastAsia="SimSun" w:cs="Times New Roman"/>
      <w:sz w:val="20"/>
      <w:szCs w:val="20"/>
      <w:lang w:val="ru-RU" w:eastAsia="ru-RU" w:bidi="ar-SA"/>
    </w:r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38" w:customStyle="1">
    <w:name w:val="Таблица простая 3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/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339" w:customStyle="1">
    <w:name w:val="Таблица простая 4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/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0" w:customStyle="1">
    <w:name w:val="Таблица простая 5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/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341" w:customStyle="1">
    <w:name w:val="Таблица-сетка 1 светлая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2" w:customStyle="1">
    <w:name w:val="Таблица-сетка 2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3" w:customStyle="1">
    <w:name w:val="Таблица-сетка 3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4" w:customStyle="1">
    <w:name w:val="Таблица-сетка 41"/>
    <w:basedOn w:val="1145"/>
    <w:uiPriority w:val="59"/>
    <w:qFormat/>
    <w:rPr>
      <w:rFonts w:eastAsia="SimSun" w:cs="Times New Roman"/>
      <w:sz w:val="20"/>
      <w:szCs w:val="20"/>
      <w:lang w:val="ru-RU" w:eastAsia="ru-RU" w:bidi="ar-SA"/>
    </w:r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345" w:customStyle="1">
    <w:name w:val="Таблица-сетка 5 темная1"/>
    <w:basedOn w:val="1145"/>
    <w:uiPriority w:val="99"/>
    <w:rPr>
      <w:rFonts w:eastAsia="SimSun" w:cs="Times New Roman"/>
      <w:sz w:val="20"/>
      <w:szCs w:val="20"/>
      <w:lang w:val="ru-RU" w:eastAsia="ru-RU" w:bidi="ar-SA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346" w:customStyle="1">
    <w:name w:val="Таблица-сетка 6 цветная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  <w:tblStylePr w:type="firstCol">
      <w:rPr>
        <w:b/>
        <w:color w:val="7f7f7f" w:themeColor="text1" w:themeTint="80"/>
      </w:rPr>
    </w:tblStylePr>
    <w:tblStylePr w:type="firstRow">
      <w:rPr>
        <w:b/>
        <w:color w:val="7f7f7f" w:themeColor="text1" w:themeTint="80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/>
      </w:rPr>
    </w:tblStylePr>
    <w:tblStylePr w:type="lastRow">
      <w:rPr>
        <w:b/>
        <w:color w:val="7f7f7f" w:themeColor="text1" w:themeTint="80"/>
      </w:rPr>
    </w:tblStylePr>
  </w:style>
  <w:style w:type="table" w:styleId="1347" w:customStyle="1">
    <w:name w:val="Таблица-сетка 7 цветная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8" w:customStyle="1">
    <w:name w:val="Список-таблица 1 светлая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/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9" w:customStyle="1">
    <w:name w:val="Список-таблица 2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350" w:customStyle="1">
    <w:name w:val="Список-таблица 3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1" w:customStyle="1">
    <w:name w:val="Список-таблица 41"/>
    <w:basedOn w:val="1145"/>
    <w:uiPriority w:val="99"/>
    <w:qFormat/>
    <w:rPr>
      <w:rFonts w:eastAsia="SimSun" w:cs="Times New Roman"/>
      <w:sz w:val="20"/>
      <w:szCs w:val="20"/>
      <w:lang w:val="ru-RU" w:eastAsia="ru-RU" w:bidi="ar-S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2" w:customStyle="1">
    <w:name w:val="Список-таблица 5 темная1"/>
    <w:basedOn w:val="1145"/>
    <w:uiPriority w:val="99"/>
    <w:rPr>
      <w:rFonts w:eastAsia="SimSun" w:cs="Times New Roman"/>
      <w:sz w:val="20"/>
      <w:szCs w:val="20"/>
      <w:lang w:val="ru-RU" w:eastAsia="ru-RU" w:bidi="ar-SA"/>
    </w:r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353" w:customStyle="1">
    <w:name w:val="Список-таблица 6 цветная1"/>
    <w:basedOn w:val="1145"/>
    <w:uiPriority w:val="99"/>
    <w:rPr>
      <w:rFonts w:eastAsia="SimSun" w:cs="Times New Roman"/>
      <w:sz w:val="20"/>
      <w:szCs w:val="20"/>
      <w:lang w:val="ru-RU" w:eastAsia="ru-RU" w:bidi="ar-SA"/>
    </w:r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354" w:customStyle="1">
    <w:name w:val="Список-таблица 7 цветная1"/>
    <w:basedOn w:val="1145"/>
    <w:uiPriority w:val="99"/>
    <w:rPr>
      <w:rFonts w:eastAsia="SimSun" w:cs="Times New Roman"/>
      <w:sz w:val="20"/>
      <w:szCs w:val="20"/>
      <w:lang w:val="ru-RU" w:eastAsia="ru-RU" w:bidi="ar-SA"/>
    </w:rPr>
    <w:tblPr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paragraph" w:styleId="1355" w:customStyle="1">
    <w:name w:val="Заголовок оглавления1"/>
    <w:uiPriority w:val="39"/>
    <w:unhideWhenUsed/>
    <w:qFormat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styleId="1356" w:customStyle="1">
    <w:name w:val="Heading 2 Char"/>
    <w:basedOn w:val="1144"/>
    <w:uiPriority w:val="9"/>
    <w:rPr>
      <w:rFonts w:ascii="Arial" w:hAnsi="Arial" w:eastAsia="Arial" w:cs="Arial"/>
      <w:sz w:val="34"/>
    </w:rPr>
  </w:style>
  <w:style w:type="character" w:styleId="1357" w:customStyle="1">
    <w:name w:val="Heading 3 Char"/>
    <w:basedOn w:val="1144"/>
    <w:uiPriority w:val="9"/>
    <w:rPr>
      <w:rFonts w:ascii="Arial" w:hAnsi="Arial" w:eastAsia="Arial" w:cs="Arial"/>
      <w:sz w:val="30"/>
      <w:szCs w:val="30"/>
    </w:rPr>
  </w:style>
  <w:style w:type="character" w:styleId="1358" w:customStyle="1">
    <w:name w:val="Heading 4 Char"/>
    <w:basedOn w:val="1144"/>
    <w:uiPriority w:val="9"/>
    <w:rPr>
      <w:rFonts w:ascii="Arial" w:hAnsi="Arial" w:eastAsia="Arial" w:cs="Arial"/>
      <w:b/>
      <w:bCs/>
      <w:sz w:val="26"/>
      <w:szCs w:val="26"/>
    </w:rPr>
  </w:style>
  <w:style w:type="character" w:styleId="1359" w:customStyle="1">
    <w:name w:val="Heading 5 Char"/>
    <w:basedOn w:val="1144"/>
    <w:uiPriority w:val="9"/>
    <w:rPr>
      <w:rFonts w:ascii="Arial" w:hAnsi="Arial" w:eastAsia="Arial" w:cs="Arial"/>
      <w:b/>
      <w:bCs/>
      <w:sz w:val="24"/>
      <w:szCs w:val="24"/>
    </w:rPr>
  </w:style>
  <w:style w:type="character" w:styleId="1360" w:customStyle="1">
    <w:name w:val="Heading 6 Char"/>
    <w:basedOn w:val="1144"/>
    <w:uiPriority w:val="9"/>
    <w:rPr>
      <w:rFonts w:ascii="Arial" w:hAnsi="Arial" w:eastAsia="Arial" w:cs="Arial"/>
      <w:b/>
      <w:bCs/>
      <w:sz w:val="22"/>
      <w:szCs w:val="22"/>
    </w:rPr>
  </w:style>
  <w:style w:type="character" w:styleId="1361" w:customStyle="1">
    <w:name w:val="Heading 7 Char"/>
    <w:basedOn w:val="114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362" w:customStyle="1">
    <w:name w:val="Heading 8 Char"/>
    <w:basedOn w:val="1144"/>
    <w:uiPriority w:val="9"/>
    <w:rPr>
      <w:rFonts w:ascii="Arial" w:hAnsi="Arial" w:eastAsia="Arial" w:cs="Arial"/>
      <w:i/>
      <w:iCs/>
      <w:sz w:val="22"/>
      <w:szCs w:val="22"/>
    </w:rPr>
  </w:style>
  <w:style w:type="character" w:styleId="1363" w:customStyle="1">
    <w:name w:val="Heading 9 Char"/>
    <w:basedOn w:val="1144"/>
    <w:uiPriority w:val="9"/>
    <w:rPr>
      <w:rFonts w:ascii="Arial" w:hAnsi="Arial" w:eastAsia="Arial" w:cs="Arial"/>
      <w:i/>
      <w:iCs/>
      <w:sz w:val="21"/>
      <w:szCs w:val="21"/>
    </w:rPr>
  </w:style>
  <w:style w:type="character" w:styleId="1364" w:customStyle="1">
    <w:name w:val="Title Char"/>
    <w:basedOn w:val="1144"/>
    <w:uiPriority w:val="10"/>
    <w:rPr>
      <w:sz w:val="48"/>
      <w:szCs w:val="48"/>
    </w:rPr>
  </w:style>
  <w:style w:type="character" w:styleId="1365" w:customStyle="1">
    <w:name w:val="Header Char"/>
    <w:basedOn w:val="1144"/>
    <w:uiPriority w:val="99"/>
  </w:style>
  <w:style w:type="character" w:styleId="1366" w:customStyle="1">
    <w:name w:val="Footnote Text Char"/>
    <w:uiPriority w:val="99"/>
    <w:rPr>
      <w:sz w:val="18"/>
    </w:rPr>
  </w:style>
  <w:style w:type="character" w:styleId="1367" w:customStyle="1">
    <w:name w:val="Endnote Text Char"/>
    <w:uiPriority w:val="99"/>
    <w:rPr>
      <w:sz w:val="20"/>
    </w:rPr>
  </w:style>
  <w:style w:type="character" w:styleId="1368" w:customStyle="1">
    <w:name w:val="Heading 1 Char"/>
    <w:basedOn w:val="1144"/>
    <w:uiPriority w:val="9"/>
    <w:rPr>
      <w:rFonts w:ascii="Arial" w:hAnsi="Arial" w:eastAsia="Arial" w:cs="Arial"/>
      <w:sz w:val="40"/>
      <w:szCs w:val="40"/>
    </w:rPr>
  </w:style>
  <w:style w:type="character" w:styleId="1369" w:customStyle="1">
    <w:name w:val="Subtitle Char"/>
    <w:basedOn w:val="1144"/>
    <w:uiPriority w:val="11"/>
    <w:rPr>
      <w:sz w:val="24"/>
      <w:szCs w:val="24"/>
    </w:rPr>
  </w:style>
  <w:style w:type="character" w:styleId="1370" w:customStyle="1">
    <w:name w:val="Quote Char"/>
    <w:uiPriority w:val="29"/>
    <w:rPr>
      <w:i/>
    </w:rPr>
  </w:style>
  <w:style w:type="character" w:styleId="1371" w:customStyle="1">
    <w:name w:val="Intense Quote Char"/>
    <w:uiPriority w:val="30"/>
    <w:rPr>
      <w:i/>
    </w:rPr>
  </w:style>
  <w:style w:type="character" w:styleId="1372" w:customStyle="1">
    <w:name w:val="Название объекта Знак"/>
    <w:link w:val="1323"/>
    <w:uiPriority w:val="99"/>
  </w:style>
  <w:style w:type="table" w:styleId="1373" w:customStyle="1">
    <w:name w:val="Table Normal"/>
    <w:uiPriority w:val="2"/>
    <w:qFormat/>
    <w:rPr>
      <w:rFonts w:ascii="Arial" w:hAnsi="Arial" w:eastAsia="Arial" w:cs="Arial"/>
      <w:lang w:val="ru-RU" w:eastAsia="ru-RU" w:bidi="ar-SA"/>
    </w:rPr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1374" w:customStyle="1">
    <w:name w:val="Заголовок Знак1"/>
    <w:basedOn w:val="1144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375" w:customStyle="1">
    <w:name w:val="Основной текст Знак"/>
    <w:basedOn w:val="1144"/>
    <w:link w:val="1321"/>
    <w:uiPriority w:val="1"/>
    <w:rPr>
      <w:rFonts w:eastAsia="Times New Roman" w:cs="Times New Roman"/>
      <w:sz w:val="20"/>
      <w:szCs w:val="20"/>
      <w:lang w:val="ru-RU" w:bidi="ar-SA"/>
    </w:rPr>
  </w:style>
  <w:style w:type="character" w:styleId="1376" w:customStyle="1">
    <w:name w:val="Верхний колонтитул Знак1"/>
    <w:basedOn w:val="1144"/>
    <w:uiPriority w:val="99"/>
    <w:semiHidden/>
  </w:style>
  <w:style w:type="paragraph" w:styleId="1377" w:customStyle="1">
    <w:name w:val="Текст таблицы"/>
    <w:basedOn w:val="1134"/>
    <w:pPr>
      <w:keepLines/>
    </w:pPr>
    <w:rPr>
      <w:rFonts w:ascii="Arial" w:hAnsi="Arial" w:eastAsia="Arial" w:cs="Arial"/>
      <w:iCs/>
      <w:szCs w:val="24"/>
      <w:lang w:val="en-US" w:eastAsia="ru-RU"/>
    </w:rPr>
  </w:style>
  <w:style w:type="paragraph" w:styleId="1378">
    <w:name w:val="List Number"/>
    <w:basedOn w:val="1134"/>
    <w:pPr>
      <w:numPr>
        <w:ilvl w:val="0"/>
        <w:numId w:val="2"/>
      </w:numPr>
      <w:spacing w:before="60" w:after="60"/>
    </w:pPr>
    <w:rPr>
      <w:rFonts w:ascii="Arial" w:hAnsi="Arial" w:eastAsia="Arial" w:cs="Arial"/>
      <w:sz w:val="24"/>
      <w:szCs w:val="24"/>
      <w:lang w:eastAsia="ru-RU"/>
    </w:rPr>
  </w:style>
  <w:style w:type="paragraph" w:styleId="1379" w:customStyle="1">
    <w:name w:val="Рисунок"/>
    <w:basedOn w:val="1134"/>
    <w:pPr>
      <w:jc w:val="center"/>
    </w:pPr>
    <w:rPr>
      <w:rFonts w:ascii="Arial" w:hAnsi="Arial" w:eastAsia="Arial" w:cs="Arial"/>
      <w:sz w:val="24"/>
      <w:szCs w:val="24"/>
      <w:lang w:eastAsia="ru-RU"/>
    </w:rPr>
  </w:style>
  <w:style w:type="paragraph" w:styleId="1380" w:customStyle="1">
    <w:name w:val="Основной текст без отступа"/>
    <w:basedOn w:val="1321"/>
    <w:pPr>
      <w:jc w:val="both"/>
      <w:spacing w:before="60" w:after="60" w:line="240" w:lineRule="auto"/>
    </w:pPr>
    <w:rPr>
      <w:rFonts w:ascii="Arial" w:hAnsi="Arial" w:eastAsia="Arial" w:cs="Arial"/>
      <w:sz w:val="24"/>
      <w:szCs w:val="24"/>
      <w:lang w:eastAsia="ru-RU"/>
    </w:rPr>
  </w:style>
  <w:style w:type="paragraph" w:styleId="1381" w:customStyle="1">
    <w:name w:val="Стиль Нумерованный список + Перед:  0.6 ст. После:  0.6 ст."/>
    <w:basedOn w:val="1378"/>
    <w:pPr>
      <w:numPr>
        <w:ilvl w:val="0"/>
        <w:numId w:val="0"/>
      </w:numPr>
      <w:jc w:val="both"/>
      <w:spacing w:before="144" w:after="144"/>
    </w:pPr>
    <w:rPr>
      <w:szCs w:val="20"/>
    </w:rPr>
  </w:style>
  <w:style w:type="paragraph" w:styleId="1382" w:customStyle="1">
    <w:name w:val="Нумерованный список таблицы"/>
    <w:basedOn w:val="1378"/>
    <w:pPr>
      <w:numPr>
        <w:ilvl w:val="0"/>
        <w:numId w:val="1"/>
      </w:numPr>
      <w:ind w:left="454" w:hanging="454"/>
      <w:jc w:val="center"/>
      <w:spacing w:before="0" w:after="0"/>
    </w:pPr>
    <w:rPr>
      <w:sz w:val="20"/>
      <w:szCs w:val="20"/>
    </w:rPr>
  </w:style>
  <w:style w:type="paragraph" w:styleId="1383" w:customStyle="1">
    <w:name w:val="Название таблицы"/>
    <w:basedOn w:val="1323"/>
    <w:next w:val="1377"/>
    <w:pPr>
      <w:ind w:left="0" w:right="851"/>
      <w:jc w:val="right"/>
      <w:keepLines/>
      <w:keepNext/>
      <w:spacing w:before="0"/>
    </w:pPr>
    <w:rPr>
      <w:rFonts w:ascii="Arial" w:hAnsi="Arial" w:eastAsia="Arial" w:cs="Arial"/>
      <w:color w:val="auto"/>
      <w:szCs w:val="24"/>
      <w:lang w:eastAsia="ru-RU"/>
    </w:rPr>
  </w:style>
  <w:style w:type="paragraph" w:styleId="1384">
    <w:name w:val="Body Text 2"/>
    <w:basedOn w:val="1134"/>
    <w:link w:val="1385"/>
    <w:pPr>
      <w:jc w:val="center"/>
    </w:pPr>
    <w:rPr>
      <w:rFonts w:ascii="Arial" w:hAnsi="Arial" w:eastAsia="Arial" w:cs="Arial"/>
      <w:sz w:val="16"/>
      <w:szCs w:val="24"/>
      <w:lang w:val="en-US" w:eastAsia="ru-RU"/>
    </w:rPr>
  </w:style>
  <w:style w:type="character" w:styleId="1385" w:customStyle="1">
    <w:name w:val="Основной текст 2 Знак"/>
    <w:basedOn w:val="1144"/>
    <w:link w:val="1384"/>
    <w:rPr>
      <w:rFonts w:ascii="Arial" w:hAnsi="Arial" w:eastAsia="Arial" w:cs="Arial"/>
      <w:sz w:val="16"/>
      <w:lang w:eastAsia="ru-RU" w:bidi="ar-SA"/>
    </w:rPr>
  </w:style>
  <w:style w:type="paragraph" w:styleId="1386" w:customStyle="1">
    <w:name w:val="Шапка таблицы"/>
    <w:basedOn w:val="1377"/>
    <w:pPr>
      <w:jc w:val="center"/>
      <w:keepNext/>
    </w:pPr>
    <w:rPr>
      <w:b/>
      <w:lang w:val="ru-RU"/>
    </w:rPr>
  </w:style>
  <w:style w:type="paragraph" w:styleId="1387" w:customStyle="1">
    <w:name w:val="Штамп 12"/>
    <w:basedOn w:val="1134"/>
    <w:pPr>
      <w:jc w:val="center"/>
    </w:pPr>
    <w:rPr>
      <w:rFonts w:eastAsia="Arial" w:cs="Arial"/>
      <w:sz w:val="24"/>
      <w:szCs w:val="32"/>
      <w:lang w:eastAsia="ru-RU"/>
    </w:rPr>
  </w:style>
  <w:style w:type="paragraph" w:styleId="1388" w:customStyle="1">
    <w:name w:val="Штамп 10"/>
    <w:basedOn w:val="1134"/>
    <w:pPr>
      <w:jc w:val="center"/>
    </w:pPr>
    <w:rPr>
      <w:rFonts w:eastAsia="Arial" w:cs="Arial"/>
      <w:szCs w:val="32"/>
      <w:lang w:eastAsia="ru-RU"/>
    </w:rPr>
  </w:style>
  <w:style w:type="character" w:styleId="1389">
    <w:name w:val="Subtle Emphasis"/>
    <w:uiPriority w:val="19"/>
    <w:qFormat/>
    <w:rPr>
      <w:i/>
      <w:iCs/>
      <w:color w:val="808080"/>
    </w:rPr>
  </w:style>
  <w:style w:type="character" w:styleId="1390">
    <w:name w:val="Emphasis"/>
    <w:uiPriority w:val="20"/>
    <w:qFormat/>
    <w:rPr>
      <w:i/>
      <w:iCs/>
    </w:rPr>
  </w:style>
  <w:style w:type="character" w:styleId="1391">
    <w:name w:val="Intense Emphasis"/>
    <w:uiPriority w:val="21"/>
    <w:qFormat/>
    <w:rPr>
      <w:b/>
      <w:bCs/>
      <w:i/>
      <w:iCs/>
      <w:color w:val="4f81bd"/>
    </w:rPr>
  </w:style>
  <w:style w:type="character" w:styleId="1392">
    <w:name w:val="Strong"/>
    <w:uiPriority w:val="22"/>
    <w:qFormat/>
    <w:rPr>
      <w:b/>
      <w:bCs/>
    </w:rPr>
  </w:style>
  <w:style w:type="paragraph" w:styleId="1393" w:customStyle="1">
    <w:name w:val="ConsPlusNonformat"/>
    <w:pPr>
      <w:widowControl w:val="off"/>
    </w:pPr>
    <w:rPr>
      <w:rFonts w:ascii="Courier New" w:hAnsi="Courier New" w:eastAsia="Arial" w:cs="Courier New"/>
      <w:lang w:val="ru-RU" w:eastAsia="ru-RU" w:bidi="ar-SA"/>
    </w:rPr>
  </w:style>
  <w:style w:type="paragraph" w:styleId="1394" w:customStyle="1">
    <w:name w:val="ConsPlusNormal"/>
    <w:uiPriority w:val="99"/>
    <w:rPr>
      <w:rFonts w:ascii="Arial" w:hAnsi="Arial" w:eastAsia="Arial" w:cs="Arial"/>
      <w:sz w:val="28"/>
      <w:szCs w:val="28"/>
      <w:lang w:val="ru-RU" w:eastAsia="ru-RU" w:bidi="ar-SA"/>
    </w:rPr>
  </w:style>
  <w:style w:type="paragraph" w:styleId="1395" w:customStyle="1">
    <w:name w:val="Body Text 22"/>
    <w:basedOn w:val="1134"/>
    <w:pPr>
      <w:ind w:firstLine="709"/>
      <w:jc w:val="both"/>
    </w:pPr>
    <w:rPr>
      <w:rFonts w:eastAsia="Arial" w:cs="Arial"/>
      <w:sz w:val="28"/>
      <w:lang w:eastAsia="ru-RU"/>
    </w:rPr>
  </w:style>
  <w:style w:type="paragraph" w:styleId="1396">
    <w:name w:val="Plain Text"/>
    <w:basedOn w:val="1134"/>
    <w:link w:val="1397"/>
    <w:rPr>
      <w:rFonts w:ascii="Courier New" w:hAnsi="Courier New" w:eastAsia="Arial" w:cs="Arial"/>
      <w:lang w:eastAsia="ru-RU"/>
    </w:rPr>
  </w:style>
  <w:style w:type="character" w:styleId="1397" w:customStyle="1">
    <w:name w:val="Текст Знак"/>
    <w:basedOn w:val="1144"/>
    <w:link w:val="1396"/>
    <w:rPr>
      <w:rFonts w:ascii="Courier New" w:hAnsi="Courier New" w:eastAsia="Arial" w:cs="Arial"/>
      <w:sz w:val="20"/>
      <w:szCs w:val="20"/>
      <w:lang w:val="ru-RU" w:eastAsia="ru-RU" w:bidi="ar-SA"/>
    </w:rPr>
  </w:style>
  <w:style w:type="character" w:styleId="1398" w:customStyle="1">
    <w:name w:val="Без интервала Знак"/>
    <w:link w:val="1158"/>
    <w:uiPriority w:val="1"/>
  </w:style>
  <w:style w:type="table" w:styleId="1399" w:customStyle="1">
    <w:name w:val="Сетка таблицы1"/>
    <w:basedOn w:val="1145"/>
    <w:next w:val="1172"/>
    <w:uiPriority w:val="59"/>
    <w:rPr>
      <w:rFonts w:ascii="Calibri" w:hAnsi="Calibri" w:eastAsia="Calibri" w:cs="Arial"/>
      <w:sz w:val="22"/>
      <w:szCs w:val="22"/>
      <w:lang w:val="ru-RU" w:eastAsia="en-US"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400" w:customStyle="1">
    <w:name w:val="Default"/>
    <w:rPr>
      <w:rFonts w:ascii="Arial" w:hAnsi="Arial" w:eastAsia="Arial" w:cs="Arial"/>
      <w:color w:val="000000"/>
      <w:lang w:val="ru-RU" w:eastAsia="ru-RU" w:bidi="ar-SA"/>
    </w:rPr>
  </w:style>
  <w:style w:type="paragraph" w:styleId="1401" w:customStyle="1">
    <w:name w:val="headertext"/>
    <w:basedOn w:val="1134"/>
    <w:pPr>
      <w:spacing w:before="100" w:beforeAutospacing="1" w:after="100" w:afterAutospacing="1"/>
    </w:pPr>
    <w:rPr>
      <w:rFonts w:eastAsia="Arial" w:cs="Arial"/>
      <w:sz w:val="24"/>
      <w:szCs w:val="24"/>
      <w:lang w:eastAsia="ru-RU"/>
    </w:rPr>
  </w:style>
  <w:style w:type="paragraph" w:styleId="1402" w:customStyle="1">
    <w:name w:val="formattext"/>
    <w:basedOn w:val="1134"/>
    <w:pPr>
      <w:spacing w:before="100" w:beforeAutospacing="1" w:after="100" w:afterAutospacing="1"/>
    </w:pPr>
    <w:rPr>
      <w:rFonts w:eastAsia="Arial" w:cs="Arial"/>
      <w:sz w:val="24"/>
      <w:szCs w:val="24"/>
      <w:lang w:eastAsia="ru-RU"/>
    </w:rPr>
  </w:style>
  <w:style w:type="paragraph" w:styleId="1403" w:customStyle="1">
    <w:name w:val="PI Text"/>
    <w:basedOn w:val="1134"/>
    <w:link w:val="1404"/>
    <w:qFormat/>
    <w:pPr>
      <w:jc w:val="both"/>
      <w:spacing w:after="200"/>
    </w:pPr>
    <w:rPr>
      <w:rFonts w:ascii="Arial" w:hAnsi="Arial" w:eastAsia="Arial" w:cs="Arial"/>
      <w:color w:val="000000" w:themeColor="text1"/>
      <w:sz w:val="22"/>
      <w:lang w:eastAsia="ru-RU" w:bidi="ru-RU"/>
    </w:rPr>
  </w:style>
  <w:style w:type="character" w:styleId="1404" w:customStyle="1">
    <w:name w:val="PI Text Знак"/>
    <w:basedOn w:val="1144"/>
    <w:link w:val="1403"/>
    <w:rPr>
      <w:rFonts w:ascii="Arial" w:hAnsi="Arial" w:eastAsia="Arial" w:cs="Arial"/>
      <w:color w:val="000000" w:themeColor="text1"/>
      <w:sz w:val="22"/>
      <w:szCs w:val="20"/>
      <w:lang w:val="ru-RU" w:eastAsia="ru-RU" w:bidi="ru-RU"/>
    </w:rPr>
  </w:style>
  <w:style w:type="character" w:styleId="1405" w:customStyle="1">
    <w:name w:val="Абзац списка Знак"/>
    <w:link w:val="1157"/>
    <w:uiPriority w:val="34"/>
    <w:qFormat/>
    <w:rPr>
      <w:rFonts w:eastAsia="Times New Roman" w:cs="Times New Roman"/>
      <w:sz w:val="20"/>
      <w:szCs w:val="20"/>
      <w:lang w:val="ru-RU" w:bidi="ar-SA"/>
    </w:rPr>
  </w:style>
  <w:style w:type="paragraph" w:styleId="1406" w:customStyle="1">
    <w:name w:val="PI Heading 1"/>
    <w:basedOn w:val="1135"/>
    <w:link w:val="1408"/>
    <w:qFormat/>
    <w:pPr>
      <w:numPr>
        <w:ilvl w:val="0"/>
        <w:numId w:val="3"/>
      </w:numPr>
      <w:ind w:left="567"/>
      <w:jc w:val="left"/>
      <w:keepNext w:val="0"/>
      <w:spacing w:before="240" w:after="12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HAnsi"/>
      <w:bCs/>
      <w:color w:val="auto"/>
      <w:sz w:val="32"/>
      <w:szCs w:val="32"/>
      <w:lang w:eastAsia="en-US" w:bidi="ru-RU"/>
    </w:rPr>
  </w:style>
  <w:style w:type="paragraph" w:styleId="1407" w:customStyle="1">
    <w:name w:val="PI Heading 2"/>
    <w:basedOn w:val="1136"/>
    <w:link w:val="1410"/>
    <w:qFormat/>
    <w:pPr>
      <w:ind w:left="567" w:hanging="720"/>
      <w:keepLines w:val="0"/>
      <w:spacing w:before="240" w:after="60" w:line="276" w:lineRule="auto"/>
      <w:tabs>
        <w:tab w:val="num" w:pos="720" w:leader="none"/>
      </w:tabs>
    </w:pPr>
    <w:rPr>
      <w:rFonts w:ascii="Times New Roman" w:hAnsi="Times New Roman" w:eastAsia="MS ????" w:cstheme="majorBidi"/>
      <w:b/>
      <w:bCs/>
      <w:iCs/>
      <w:color w:val="365f91" w:themeColor="accent1" w:themeShade="BF"/>
      <w:sz w:val="28"/>
      <w:szCs w:val="28"/>
      <w:lang w:eastAsia="ru-RU" w:bidi="ru-RU"/>
    </w:rPr>
  </w:style>
  <w:style w:type="character" w:styleId="1408" w:customStyle="1">
    <w:name w:val="PI Heading 1 Знак"/>
    <w:basedOn w:val="1144"/>
    <w:link w:val="1406"/>
    <w:rPr>
      <w:rFonts w:cs="Times New Roman" w:eastAsiaTheme="minorHAnsi"/>
      <w:b/>
      <w:bCs/>
      <w:sz w:val="32"/>
      <w:szCs w:val="32"/>
      <w:lang w:val="ru-RU" w:eastAsia="en-US" w:bidi="ru-RU"/>
    </w:rPr>
  </w:style>
  <w:style w:type="paragraph" w:styleId="1409" w:customStyle="1">
    <w:name w:val="Нумерация"/>
    <w:qFormat/>
    <w:pPr>
      <w:numPr>
        <w:ilvl w:val="2"/>
        <w:numId w:val="3"/>
      </w:numPr>
      <w:spacing w:before="240" w:after="120" w:line="276" w:lineRule="auto"/>
    </w:pPr>
    <w:rPr>
      <w:rFonts w:ascii="Arial" w:hAnsi="Arial" w:eastAsia="MS ????" w:cstheme="majorBidi"/>
      <w:b/>
      <w:bCs/>
      <w:lang w:val="ru-RU" w:eastAsia="ru-RU" w:bidi="ru-RU"/>
    </w:rPr>
  </w:style>
  <w:style w:type="character" w:styleId="1410" w:customStyle="1">
    <w:name w:val="PI Heading 2 Знак"/>
    <w:basedOn w:val="1144"/>
    <w:link w:val="1407"/>
    <w:rPr>
      <w:rFonts w:eastAsia="MS ????" w:cstheme="majorBidi"/>
      <w:b/>
      <w:bCs/>
      <w:iCs/>
      <w:color w:val="365f91" w:themeColor="accent1" w:themeShade="BF"/>
      <w:sz w:val="28"/>
      <w:szCs w:val="28"/>
      <w:lang w:val="ru-RU" w:eastAsia="ru-RU" w:bidi="ru-RU"/>
    </w:rPr>
  </w:style>
  <w:style w:type="table" w:styleId="1411">
    <w:name w:val="Grid Table 6 Colorful Accent 5"/>
    <w:basedOn w:val="1145"/>
    <w:uiPriority w:val="51"/>
    <w:rPr>
      <w:rFonts w:asciiTheme="minorHAnsi" w:hAnsiTheme="minorHAnsi" w:eastAsiaTheme="minorHAnsi" w:cstheme="minorBidi"/>
      <w:color w:val="31849b" w:themeColor="accent5" w:themeShade="BF"/>
      <w:sz w:val="22"/>
      <w:szCs w:val="22"/>
      <w:lang w:val="ru-RU" w:eastAsia="en-US" w:bidi="ar-SA"/>
    </w:rPr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band1Horz">
      <w:tcPr>
        <w:shd w:val="clear" w:color="auto" w:fill="daeef3" w:themeFill="accent5" w:themeFillTint="33"/>
      </w:tcPr>
    </w:tblStylePr>
    <w:tblStylePr w:type="band1Vert">
      <w:tcPr>
        <w:shd w:val="clear" w:color="auto" w:fill="daeef3" w:themeFill="accent5" w:themeFillTint="33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92CDDC" w:themeColor="accent5" w:themeTint="99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92CDDC" w:themeColor="accent5" w:themeTint="99" w:sz="4" w:space="0"/>
        </w:tcBorders>
      </w:tcPr>
    </w:tblStylePr>
  </w:style>
  <w:style w:type="paragraph" w:styleId="1412" w:customStyle="1">
    <w:name w:val="Text"/>
    <w:basedOn w:val="1134"/>
    <w:link w:val="1413"/>
    <w:pPr>
      <w:ind w:right="204"/>
      <w:jc w:val="center"/>
      <w:spacing w:after="200" w:line="264" w:lineRule="auto"/>
      <w:framePr w:hSpace="180" w:wrap="around" w:vAnchor="text" w:hAnchor="margin" w:y="271"/>
    </w:pPr>
    <w:rPr>
      <w:rFonts w:cs="Arial" w:eastAsiaTheme="minorEastAsia"/>
      <w:color w:val="000000"/>
      <w:sz w:val="22"/>
      <w:szCs w:val="22"/>
      <w:lang w:eastAsia="en-US" w:bidi="ru-RU"/>
    </w:rPr>
  </w:style>
  <w:style w:type="character" w:styleId="1413" w:customStyle="1">
    <w:name w:val="Text Знак"/>
    <w:basedOn w:val="1144"/>
    <w:link w:val="1412"/>
    <w:rPr>
      <w:rFonts w:cs="Arial" w:eastAsiaTheme="minorEastAsia"/>
      <w:color w:val="000000"/>
      <w:sz w:val="22"/>
      <w:szCs w:val="22"/>
      <w:lang w:val="ru-RU" w:eastAsia="en-US" w:bidi="ru-RU"/>
    </w:rPr>
  </w:style>
  <w:style w:type="table" w:styleId="1414">
    <w:name w:val="Grid Table 6 Colorful Accent 1"/>
    <w:basedOn w:val="1145"/>
    <w:uiPriority w:val="51"/>
    <w:rPr>
      <w:rFonts w:asciiTheme="minorHAnsi" w:hAnsiTheme="minorHAnsi" w:eastAsiaTheme="minorHAnsi" w:cstheme="minorBidi"/>
      <w:color w:val="365f91" w:themeColor="accent1" w:themeShade="BF"/>
      <w:sz w:val="22"/>
      <w:szCs w:val="22"/>
      <w:lang w:val="ru-RU" w:eastAsia="en-US" w:bidi="ar-SA"/>
    </w:r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band1Horz">
      <w:tcPr>
        <w:shd w:val="clear" w:color="auto" w:fill="dbe5f1" w:themeFill="accent1" w:themeFillTint="33"/>
      </w:tcPr>
    </w:tblStylePr>
    <w:tblStylePr w:type="band1Vert">
      <w:tcPr>
        <w:shd w:val="clear" w:color="auto" w:fill="dbe5f1" w:themeFill="accent1" w:themeFillTint="33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95B3D7" w:themeColor="accent1" w:themeTint="99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95B3D7" w:themeColor="accent1" w:themeTint="99" w:sz="4" w:space="0"/>
        </w:tcBorders>
      </w:tcPr>
    </w:tblStylePr>
  </w:style>
  <w:style w:type="paragraph" w:styleId="1415" w:customStyle="1">
    <w:name w:val="Стиль таблицы 2"/>
    <w:pPr>
      <w:spacing w:after="120" w:line="264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Helvetica" w:hAnsi="Helvetica" w:eastAsia="Helvetica" w:cs="Helvetica"/>
      <w:color w:val="000000"/>
      <w:sz w:val="21"/>
      <w:szCs w:val="21"/>
      <w:lang w:val="ru-RU" w:eastAsia="ru-RU" w:bidi="ar-SA"/>
    </w:rPr>
  </w:style>
  <w:style w:type="table" w:styleId="1416" w:customStyle="1">
    <w:name w:val="StGen0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9e2f3"/>
      </w:tcPr>
    </w:tblStylePr>
    <w:tblStylePr w:type="band1Vert">
      <w:tcPr>
        <w:shd w:val="clear" w:color="auto" w:fill="d9e2f3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AADB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AADB" w:sz="4" w:space="0"/>
        </w:tcBorders>
      </w:tcPr>
    </w:tblStylePr>
  </w:style>
  <w:style w:type="table" w:styleId="1417" w:customStyle="1">
    <w:name w:val="StGen1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9e2f3"/>
      </w:tcPr>
    </w:tblStylePr>
    <w:tblStylePr w:type="band1Vert">
      <w:tcPr>
        <w:shd w:val="clear" w:color="auto" w:fill="d9e2f3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AADB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AADB" w:sz="4" w:space="0"/>
        </w:tcBorders>
      </w:tcPr>
    </w:tblStylePr>
  </w:style>
  <w:style w:type="table" w:styleId="1418" w:customStyle="1">
    <w:name w:val="StGen2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eebf6"/>
      </w:tcPr>
    </w:tblStylePr>
    <w:tblStylePr w:type="band1Vert">
      <w:tcPr>
        <w:shd w:val="clear" w:color="auto" w:fill="deebf6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CC3E5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CC3E5" w:sz="4" w:space="0"/>
        </w:tcBorders>
      </w:tcPr>
    </w:tblStylePr>
  </w:style>
  <w:style w:type="table" w:styleId="1419" w:customStyle="1">
    <w:name w:val="StGen3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9e2f3"/>
      </w:tcPr>
    </w:tblStylePr>
    <w:tblStylePr w:type="band1Vert">
      <w:tcPr>
        <w:shd w:val="clear" w:color="auto" w:fill="d9e2f3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AADB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AADB" w:sz="4" w:space="0"/>
        </w:tcBorders>
      </w:tcPr>
    </w:tblStylePr>
  </w:style>
  <w:style w:type="table" w:styleId="1420" w:customStyle="1">
    <w:name w:val="StGen4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9e2f3"/>
      </w:tcPr>
    </w:tblStylePr>
    <w:tblStylePr w:type="band1Vert">
      <w:tcPr>
        <w:shd w:val="clear" w:color="auto" w:fill="d9e2f3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AADB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AADB" w:sz="4" w:space="0"/>
        </w:tcBorders>
      </w:tcPr>
    </w:tblStylePr>
  </w:style>
  <w:style w:type="table" w:styleId="1421" w:customStyle="1">
    <w:name w:val="StGen5"/>
    <w:basedOn w:val="137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422" w:customStyle="1">
    <w:name w:val="StGen6"/>
    <w:basedOn w:val="137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423" w:customStyle="1">
    <w:name w:val="StGen7"/>
    <w:basedOn w:val="137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424" w:customStyle="1">
    <w:name w:val="StGen8"/>
    <w:basedOn w:val="137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425" w:customStyle="1">
    <w:name w:val="StGen9"/>
    <w:basedOn w:val="137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426" w:customStyle="1">
    <w:name w:val="StGen10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9e2f3"/>
      </w:tcPr>
    </w:tblStylePr>
    <w:tblStylePr w:type="band1Vert">
      <w:tcPr>
        <w:shd w:val="clear" w:color="auto" w:fill="d9e2f3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AADB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AADB" w:sz="4" w:space="0"/>
        </w:tcBorders>
      </w:tcPr>
    </w:tblStylePr>
  </w:style>
  <w:style w:type="table" w:styleId="1427" w:customStyle="1">
    <w:name w:val="StGen11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eebf6"/>
      </w:tcPr>
    </w:tblStylePr>
    <w:tblStylePr w:type="band1Vert">
      <w:tcPr>
        <w:shd w:val="clear" w:color="auto" w:fill="deebf6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CC3E5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CC3E5" w:sz="4" w:space="0"/>
        </w:tcBorders>
      </w:tcPr>
    </w:tblStylePr>
  </w:style>
  <w:style w:type="table" w:styleId="1428" w:customStyle="1">
    <w:name w:val="StGen12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eebf6"/>
      </w:tcPr>
    </w:tblStylePr>
    <w:tblStylePr w:type="band1Vert">
      <w:tcPr>
        <w:shd w:val="clear" w:color="auto" w:fill="deebf6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CC3E5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CC3E5" w:sz="4" w:space="0"/>
        </w:tcBorders>
      </w:tcPr>
    </w:tblStylePr>
  </w:style>
  <w:style w:type="table" w:styleId="1429" w:customStyle="1">
    <w:name w:val="StGen13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eebf6"/>
      </w:tcPr>
    </w:tblStylePr>
    <w:tblStylePr w:type="band1Vert">
      <w:tcPr>
        <w:shd w:val="clear" w:color="auto" w:fill="deebf6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CC3E5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CC3E5" w:sz="4" w:space="0"/>
        </w:tcBorders>
      </w:tcPr>
    </w:tblStylePr>
  </w:style>
  <w:style w:type="table" w:styleId="1430" w:customStyle="1">
    <w:name w:val="StGen14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eebf6"/>
      </w:tcPr>
    </w:tblStylePr>
    <w:tblStylePr w:type="band1Vert">
      <w:tcPr>
        <w:shd w:val="clear" w:color="auto" w:fill="deebf6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CC3E5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CC3E5" w:sz="4" w:space="0"/>
        </w:tcBorders>
      </w:tcPr>
    </w:tblStylePr>
  </w:style>
  <w:style w:type="table" w:styleId="1431" w:customStyle="1">
    <w:name w:val="StGen15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9e2f3"/>
      </w:tcPr>
    </w:tblStylePr>
    <w:tblStylePr w:type="band1Vert">
      <w:tcPr>
        <w:shd w:val="clear" w:color="auto" w:fill="d9e2f3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AADB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AADB" w:sz="4" w:space="0"/>
        </w:tcBorders>
      </w:tcPr>
    </w:tblStylePr>
  </w:style>
  <w:style w:type="table" w:styleId="1432" w:customStyle="1">
    <w:name w:val="StGen16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9e2f3"/>
      </w:tcPr>
    </w:tblStylePr>
    <w:tblStylePr w:type="band1Vert">
      <w:tcPr>
        <w:shd w:val="clear" w:color="auto" w:fill="d9e2f3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AADB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AADB" w:sz="4" w:space="0"/>
        </w:tcBorders>
      </w:tcPr>
    </w:tblStylePr>
  </w:style>
  <w:style w:type="table" w:styleId="1433" w:customStyle="1">
    <w:name w:val="StGen17"/>
    <w:basedOn w:val="1373"/>
    <w:pPr>
      <w:keepLines/>
    </w:pPr>
    <w:rPr>
      <w:rFonts w:ascii="Calibri" w:hAnsi="Calibri" w:eastAsia="Calibri" w:cs="Calibri"/>
      <w:color w:val="2e75b5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band1Horz">
      <w:tcPr>
        <w:shd w:val="clear" w:color="auto" w:fill="d9e2f3"/>
      </w:tcPr>
    </w:tblStylePr>
    <w:tblStylePr w:type="band1Vert">
      <w:tcPr>
        <w:shd w:val="clear" w:color="auto" w:fill="d9e2f3"/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AADB" w:sz="12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AADB" w:sz="4" w:space="0"/>
        </w:tcBorders>
      </w:tcPr>
    </w:tblStylePr>
  </w:style>
  <w:style w:type="paragraph" w:styleId="1434" w:customStyle="1">
    <w:name w:val="ГАУ_Основной"/>
    <w:qFormat/>
    <w:pPr>
      <w:ind w:firstLine="709"/>
      <w:jc w:val="both"/>
      <w:spacing w:after="120" w:line="30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HAnsi" w:cstheme="minorBidi"/>
      <w:szCs w:val="20"/>
      <w:lang w:val="ru-RU" w:eastAsia="en-US" w:bidi="ar-SA"/>
    </w:rPr>
  </w:style>
  <w:style w:type="paragraph" w:styleId="1435" w:customStyle="1">
    <w:name w:val="ГАУ_Библиография"/>
    <w:qFormat/>
    <w:pPr>
      <w:ind w:left="360" w:hanging="360"/>
      <w:jc w:val="center"/>
      <w:spacing w:after="120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Arial" w:cstheme="minorBidi"/>
      <w:b/>
      <w:bCs/>
      <w:color w:val="000000"/>
      <w:sz w:val="30"/>
      <w:szCs w:val="30"/>
      <w:lang w:val="ru-RU" w:eastAsia="en-US" w:bidi="ar-SA"/>
    </w:rPr>
  </w:style>
  <w:style w:type="paragraph" w:styleId="1436" w:customStyle="1">
    <w:name w:val="2. Title2"/>
    <w:qFormat/>
    <w:pPr>
      <w:numPr>
        <w:ilvl w:val="1"/>
      </w:numPr>
      <w:ind w:left="857" w:hanging="432"/>
      <w:spacing w:before="120" w:after="120"/>
      <w:tabs>
        <w:tab w:val="left" w:pos="57" w:leader="none"/>
        <w:tab w:val="left" w:pos="851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b/>
      <w:sz w:val="22"/>
      <w:szCs w:val="18"/>
      <w:lang w:eastAsia="en-US" w:bidi="ar-SA"/>
    </w:rPr>
  </w:style>
  <w:style w:type="character" w:styleId="1437" w:customStyle="1">
    <w:name w:val="Стиль для ТИМ-доков_character"/>
    <w:link w:val="1438"/>
    <w:rPr>
      <w:rFonts w:cs="Times New Roman" w:eastAsiaTheme="minorHAnsi"/>
      <w:b/>
      <w:bCs/>
      <w:sz w:val="32"/>
      <w:szCs w:val="32"/>
      <w:lang w:eastAsia="en-US"/>
    </w:rPr>
  </w:style>
  <w:style w:type="paragraph" w:styleId="1438" w:customStyle="1">
    <w:name w:val="Стиль для ТИМ-доков"/>
    <w:basedOn w:val="1434"/>
    <w:link w:val="1437"/>
    <w:qFormat/>
    <w:pPr>
      <w:ind w:left="360" w:hanging="360"/>
      <w:jc w:val="left"/>
      <w:spacing w:line="360" w:lineRule="auto"/>
    </w:pPr>
    <w:rPr>
      <w:rFonts w:cs="Times New Roman"/>
      <w:b/>
      <w:bCs/>
      <w:sz w:val="32"/>
      <w:szCs w:val="32"/>
      <w:lang w:val="en-US" w:bidi="hi-IN"/>
    </w:rPr>
  </w:style>
  <w:style w:type="character" w:styleId="1439" w:customStyle="1">
    <w:name w:val="Стиль для ТИМ - доков 1.1_character"/>
    <w:link w:val="1440"/>
    <w:rPr>
      <w:rFonts w:eastAsia="Times New Roman" w:cs="Times New Roman"/>
      <w:b/>
      <w:bCs/>
      <w:sz w:val="28"/>
      <w:szCs w:val="28"/>
      <w:lang w:eastAsia="en-US"/>
    </w:rPr>
  </w:style>
  <w:style w:type="paragraph" w:styleId="1440" w:customStyle="1">
    <w:name w:val="Стиль для ТИМ - доков 1.1"/>
    <w:basedOn w:val="1157"/>
    <w:link w:val="1439"/>
    <w:qFormat/>
    <w:pPr>
      <w:ind w:left="0" w:firstLine="850"/>
      <w:jc w:val="both"/>
      <w:spacing w:before="144" w:after="144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b/>
      <w:bCs/>
      <w:sz w:val="28"/>
      <w:szCs w:val="28"/>
      <w:lang w:val="en-US" w:eastAsia="en-US" w:bidi="hi-IN"/>
    </w:rPr>
  </w:style>
  <w:style w:type="table" w:styleId="1441" w:customStyle="1">
    <w:name w:val="Сетка таблицы3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Times New Roman"/>
      <w:sz w:val="22"/>
      <w:szCs w:val="22"/>
      <w:lang w:val="ru-RU" w:eastAsia="en-US" w:bidi="ar-SA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W w:w="0" w:type="auto"/>
    </w:tcPr>
  </w:style>
  <w:style w:type="table" w:styleId="1442" w:customStyle="1">
    <w:name w:val="Сетка таблицы6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Times New Roman"/>
      <w:sz w:val="22"/>
      <w:szCs w:val="22"/>
      <w:lang w:val="ru-RU" w:eastAsia="en-US" w:bidi="ar-SA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W w:w="0" w:type="auto"/>
    </w:tcPr>
  </w:style>
  <w:style w:type="table" w:styleId="1443" w:customStyle="1">
    <w:name w:val="ГАУ_Таблица1"/>
    <w:uiPriority w:val="39"/>
    <w:pPr>
      <w:jc w:val="center"/>
      <w:spacing w:before="40" w:after="40" w:line="30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Times New Roman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7F7F7F" w:sz="12" w:space="0"/>
        <w:left w:val="single" w:color="7F7F7F" w:sz="12" w:space="0"/>
        <w:bottom w:val="single" w:color="7F7F7F" w:sz="12" w:space="0"/>
        <w:right w:val="single" w:color="7F7F7F" w:sz="12" w:space="0"/>
        <w:insideH w:val="single" w:color="7F7F7F" w:sz="4" w:space="0"/>
        <w:insideV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W w:w="0" w:type="auto"/>
      <w:vAlign w:val="center"/>
    </w:tcPr>
    <w:tblStylePr w:type="firstRow">
      <w:rPr>
        <w:rFonts w:ascii="Arial" w:hAnsi="Arial"/>
        <w:sz w:val="20"/>
      </w:rPr>
      <w:pPr>
        <w:jc w:val="center"/>
      </w:pPr>
      <w:tcPr>
        <w:shd w:val="clear" w:color="auto" w:fill="f2f2f2"/>
      </w:tcPr>
    </w:tblStylePr>
  </w:style>
  <w:style w:type="paragraph" w:styleId="1444" w:customStyle="1">
    <w:name w:val="Table Paragraph"/>
    <w:basedOn w:val="1134"/>
    <w:uiPriority w:val="1"/>
    <w:qFormat/>
    <w:pPr>
      <w:widowControl w:val="off"/>
    </w:pPr>
    <w:rPr>
      <w:sz w:val="22"/>
      <w:szCs w:val="22"/>
      <w:lang w:eastAsia="en-US"/>
    </w:rPr>
  </w:style>
  <w:style w:type="character" w:styleId="1445" w:customStyle="1">
    <w:name w:val="Неразрешенное упоминание1"/>
    <w:basedOn w:val="1144"/>
    <w:uiPriority w:val="99"/>
    <w:semiHidden/>
    <w:unhideWhenUsed/>
    <w:rPr>
      <w:color w:val="605e5c"/>
      <w:shd w:val="clear" w:color="auto" w:fill="e1dfdd"/>
    </w:rPr>
  </w:style>
  <w:style w:type="table" w:styleId="1446">
    <w:name w:val="Grid Table 1 Light Accent 1"/>
    <w:basedOn w:val="1145"/>
    <w:uiPriority w:val="46"/>
    <w:rPr>
      <w:rFonts w:ascii="Arial" w:hAnsi="Arial" w:eastAsia="Arial" w:cs="Arial"/>
      <w:lang w:val="ru-RU" w:eastAsia="ru-RU" w:bidi="ar-SA"/>
    </w:rPr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95B3D7" w:themeColor="accent1" w:themeTint="99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95B3D7" w:themeColor="accent1" w:themeTint="99" w:sz="2" w:space="0"/>
        </w:tcBorders>
      </w:tcPr>
    </w:tblStylePr>
  </w:style>
  <w:style w:type="paragraph" w:styleId="1447" w:customStyle="1">
    <w:name w:val="docdata"/>
    <w:basedOn w:val="1134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1448" w:customStyle="1">
    <w:name w:val="2726"/>
    <w:basedOn w:val="1144"/>
  </w:style>
  <w:style w:type="character" w:styleId="1449" w:customStyle="1">
    <w:name w:val="3777"/>
    <w:basedOn w:val="1144"/>
  </w:style>
  <w:style w:type="character" w:styleId="1450" w:customStyle="1">
    <w:name w:val="2725"/>
    <w:basedOn w:val="1144"/>
  </w:style>
  <w:style w:type="paragraph" w:styleId="1451" w:customStyle="1">
    <w:name w:val="msonormal"/>
    <w:basedOn w:val="1134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1452" w:customStyle="1">
    <w:name w:val="1966"/>
    <w:basedOn w:val="1144"/>
  </w:style>
  <w:style w:type="character" w:styleId="1453" w:customStyle="1">
    <w:name w:val="1600"/>
    <w:basedOn w:val="1144"/>
  </w:style>
  <w:style w:type="character" w:styleId="1454" w:customStyle="1">
    <w:name w:val="1633"/>
    <w:basedOn w:val="1144"/>
  </w:style>
  <w:style w:type="character" w:styleId="1455" w:customStyle="1">
    <w:name w:val="1230"/>
    <w:basedOn w:val="1144"/>
  </w:style>
  <w:style w:type="character" w:styleId="1456" w:customStyle="1">
    <w:name w:val="3936"/>
    <w:basedOn w:val="1144"/>
  </w:style>
  <w:style w:type="character" w:styleId="1457" w:customStyle="1">
    <w:name w:val="3604"/>
    <w:basedOn w:val="1144"/>
  </w:style>
  <w:style w:type="table" w:styleId="1458" w:customStyle="1">
    <w:name w:val="Сетка таблицы2"/>
    <w:basedOn w:val="1145"/>
    <w:next w:val="1172"/>
    <w:uiPriority w:val="59"/>
    <w:rPr>
      <w:rFonts w:asciiTheme="minorHAnsi" w:hAnsiTheme="minorHAnsi" w:eastAsiaTheme="minorHAnsi" w:cstheme="minorBidi"/>
      <w:sz w:val="20"/>
      <w:szCs w:val="20"/>
      <w:lang w:val="ru-RU" w:eastAsia="ru-RU"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59" w:customStyle="1">
    <w:name w:val="translatable-message"/>
    <w:basedOn w:val="1144"/>
  </w:style>
  <w:style w:type="character" w:styleId="1460" w:customStyle="1">
    <w:name w:val="time"/>
    <w:basedOn w:val="1144"/>
  </w:style>
  <w:style w:type="character" w:styleId="1461" w:customStyle="1">
    <w:name w:val="i18n"/>
    <w:basedOn w:val="1144"/>
  </w:style>
  <w:style w:type="table" w:styleId="1462">
    <w:name w:val="Light List"/>
    <w:basedOn w:val="1145"/>
    <w:uiPriority w:val="61"/>
    <w:rPr>
      <w:rFonts w:asciiTheme="minorHAnsi" w:hAnsiTheme="minorHAnsi" w:eastAsiaTheme="minorEastAsia" w:cstheme="minorBidi"/>
      <w:sz w:val="20"/>
      <w:szCs w:val="20"/>
      <w:lang w:val="ru-RU" w:eastAsia="ru-RU" w:bidi="ar-SA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character" w:styleId="1463" w:customStyle="1">
    <w:name w:val="Неразрешенное упоминание1"/>
    <w:basedOn w:val="1144"/>
    <w:uiPriority w:val="99"/>
    <w:semiHidden/>
    <w:unhideWhenUsed/>
    <w:rPr>
      <w:color w:val="605e5c"/>
      <w:shd w:val="clear" w:color="auto" w:fill="e1dfdd"/>
    </w:rPr>
  </w:style>
  <w:style w:type="paragraph" w:styleId="1464" w:customStyle="1">
    <w:name w:val="Рецензия1"/>
    <w:hidden/>
    <w:uiPriority w:val="99"/>
    <w:semiHidden/>
    <w:rPr>
      <w:rFonts w:ascii="Liberation Sans" w:hAnsi="Liberation Sans" w:eastAsia="Liberation Sans" w:cs="Liberation Sans"/>
      <w:sz w:val="20"/>
      <w:szCs w:val="20"/>
      <w:lang w:val="ru-RU" w:eastAsia="en-US" w:bidi="ar-SA"/>
    </w:rPr>
  </w:style>
  <w:style w:type="character" w:styleId="1465" w:customStyle="1">
    <w:name w:val="4815"/>
    <w:basedOn w:val="1144"/>
  </w:style>
  <w:style w:type="character" w:styleId="1466" w:customStyle="1">
    <w:name w:val="4015"/>
    <w:basedOn w:val="1144"/>
  </w:style>
  <w:style w:type="character" w:styleId="1467" w:customStyle="1">
    <w:name w:val="3330"/>
    <w:basedOn w:val="1144"/>
  </w:style>
  <w:style w:type="numbering" w:styleId="1468" w:customStyle="1">
    <w:name w:val="Текущий список1"/>
    <w:uiPriority w:val="99"/>
    <w:pPr>
      <w:numPr>
        <w:ilvl w:val="0"/>
        <w:numId w:val="16"/>
      </w:numPr>
    </w:pPr>
  </w:style>
  <w:style w:type="numbering" w:styleId="1469" w:customStyle="1">
    <w:name w:val="Текущий список2"/>
    <w:uiPriority w:val="99"/>
    <w:pPr>
      <w:numPr>
        <w:ilvl w:val="0"/>
        <w:numId w:val="17"/>
      </w:numPr>
    </w:pPr>
  </w:style>
  <w:style w:type="character" w:styleId="1470" w:customStyle="1">
    <w:name w:val="4531"/>
    <w:basedOn w:val="1144"/>
  </w:style>
  <w:style w:type="character" w:styleId="1471" w:customStyle="1">
    <w:name w:val="4656"/>
    <w:basedOn w:val="1144"/>
  </w:style>
  <w:style w:type="character" w:styleId="1472" w:customStyle="1">
    <w:name w:val="4129"/>
    <w:basedOn w:val="1144"/>
  </w:style>
  <w:style w:type="character" w:styleId="1473" w:customStyle="1">
    <w:name w:val="4289"/>
    <w:basedOn w:val="1144"/>
  </w:style>
  <w:style w:type="character" w:styleId="1474" w:customStyle="1">
    <w:name w:val="4055"/>
    <w:basedOn w:val="1144"/>
  </w:style>
  <w:style w:type="character" w:styleId="1475" w:customStyle="1">
    <w:name w:val="1921"/>
    <w:basedOn w:val="1144"/>
  </w:style>
  <w:style w:type="character" w:styleId="1476" w:customStyle="1">
    <w:name w:val="2250"/>
    <w:basedOn w:val="1144"/>
  </w:style>
  <w:style w:type="character" w:styleId="1477" w:customStyle="1">
    <w:name w:val="1759"/>
    <w:basedOn w:val="1144"/>
  </w:style>
  <w:style w:type="character" w:styleId="1478" w:customStyle="1">
    <w:name w:val="2183"/>
    <w:basedOn w:val="1144"/>
  </w:style>
  <w:style w:type="paragraph" w:styleId="1479" w:customStyle="1">
    <w:name w:val="Стандарт"/>
    <w:basedOn w:val="1134"/>
    <w:link w:val="1480"/>
    <w:qFormat/>
    <w:pPr>
      <w:ind w:firstLine="567"/>
      <w:jc w:val="both"/>
      <w:spacing w:line="360" w:lineRule="auto"/>
    </w:pPr>
    <w:rPr>
      <w:rFonts w:ascii="Arial" w:hAnsi="Arial" w:eastAsia="Calibri" w:cs="Arial"/>
      <w:sz w:val="24"/>
      <w:szCs w:val="18"/>
      <w:lang w:eastAsia="en-US"/>
    </w:rPr>
  </w:style>
  <w:style w:type="character" w:styleId="1480" w:customStyle="1">
    <w:name w:val="Стандарт Знак"/>
    <w:basedOn w:val="1144"/>
    <w:link w:val="1479"/>
    <w:rPr>
      <w:rFonts w:ascii="Arial" w:hAnsi="Arial" w:eastAsia="Calibri" w:cs="Arial"/>
      <w:szCs w:val="18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footer" Target="footer3.xml" /><Relationship Id="rId19" Type="http://schemas.openxmlformats.org/officeDocument/2006/relationships/footer" Target="footer4.xml" /><Relationship Id="rId20" Type="http://schemas.openxmlformats.org/officeDocument/2006/relationships/footer" Target="footer5.xml" /><Relationship Id="rId21" Type="http://schemas.openxmlformats.org/officeDocument/2006/relationships/footer" Target="footer6.xml" /><Relationship Id="rId22" Type="http://schemas.openxmlformats.org/officeDocument/2006/relationships/footer" Target="footer7.xml" /><Relationship Id="rId23" Type="http://schemas.openxmlformats.org/officeDocument/2006/relationships/footer" Target="footer8.xml" /><Relationship Id="rId24" Type="http://schemas.openxmlformats.org/officeDocument/2006/relationships/footer" Target="footer9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customXml" Target="../customXml/item1.xml" /><Relationship Id="rId28" Type="http://schemas.openxmlformats.org/officeDocument/2006/relationships/image" Target="media/image1.png"/><Relationship Id="rId29" Type="http://schemas.openxmlformats.org/officeDocument/2006/relationships/hyperlink" Target="consultantplus://offline/ref=5F06141BE8CC7611D30E82D9358FD29CC166C4708926DBFF6443292777FD996D747F55F5195FAE81376EA14919375CF6D7067C55ED77A2q2f0K" TargetMode="External"/><Relationship Id="rId30" Type="http://schemas.openxmlformats.org/officeDocument/2006/relationships/hyperlink" Target="consultantplus://offline/ref=5F06141BE8CC7611D30E82D9358FD29CC166C4708926DBFF6443292777FD996D747F55F5195FA88B376EA14919375CF6D7067C55ED77A2q2f0K" TargetMode="External"/><Relationship Id="rId31" Type="http://schemas.openxmlformats.org/officeDocument/2006/relationships/image" Target="media/image2.jpg"/><Relationship Id="rId32" Type="http://schemas.openxmlformats.org/officeDocument/2006/relationships/image" Target="media/image3.png"/><Relationship Id="rId33" Type="http://schemas.openxmlformats.org/officeDocument/2006/relationships/image" Target="media/image4.png"/><Relationship Id="rId34" Type="http://schemas.openxmlformats.org/officeDocument/2006/relationships/image" Target="media/image5.jpg"/><Relationship Id="rId35" Type="http://schemas.openxmlformats.org/officeDocument/2006/relationships/image" Target="media/image6.png"/><Relationship Id="rId36" Type="http://schemas.openxmlformats.org/officeDocument/2006/relationships/image" Target="media/image7.png"/><Relationship Id="rId37" Type="http://schemas.openxmlformats.org/officeDocument/2006/relationships/image" Target="media/image8.jpg"/><Relationship Id="rId38" Type="http://schemas.openxmlformats.org/officeDocument/2006/relationships/image" Target="media/image9.png"/><Relationship Id="rId39" Type="http://schemas.openxmlformats.org/officeDocument/2006/relationships/image" Target="media/image10.jpg"/><Relationship Id="rId40" Type="http://schemas.openxmlformats.org/officeDocument/2006/relationships/image" Target="media/image11.png"/><Relationship Id="rId41" Type="http://schemas.openxmlformats.org/officeDocument/2006/relationships/image" Target="media/image12.png"/><Relationship Id="rId42" Type="http://schemas.openxmlformats.org/officeDocument/2006/relationships/image" Target="media/image13.jpg"/><Relationship Id="rId43" Type="http://schemas.openxmlformats.org/officeDocument/2006/relationships/image" Target="media/image14.png"/><Relationship Id="rId44" Type="http://schemas.openxmlformats.org/officeDocument/2006/relationships/image" Target="media/image15.jpg"/><Relationship Id="rId45" Type="http://schemas.openxmlformats.org/officeDocument/2006/relationships/image" Target="media/image16.jpg"/><Relationship Id="rId46" Type="http://schemas.openxmlformats.org/officeDocument/2006/relationships/image" Target="media/image17.jpg"/><Relationship Id="rId47" Type="http://schemas.openxmlformats.org/officeDocument/2006/relationships/image" Target="media/image18.jpg"/><Relationship Id="rId48" Type="http://schemas.openxmlformats.org/officeDocument/2006/relationships/image" Target="media/image19.jpg"/><Relationship Id="rId49" Type="http://schemas.openxmlformats.org/officeDocument/2006/relationships/image" Target="media/image20.jpg"/><Relationship Id="rId50" Type="http://schemas.openxmlformats.org/officeDocument/2006/relationships/image" Target="media/image2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er8.xml.rels><?xml version="1.0" encoding="UTF-8" standalone="yes"?><Relationships xmlns="http://schemas.openxmlformats.org/package/2006/relationships"></Relationships>
</file>

<file path=word/_rels/footer9.xml.rels><?xml version="1.0" encoding="UTF-8" standalone="yes"?><Relationships xmlns="http://schemas.openxmlformats.org/package/2006/relationships"></Relationships>
</file>

<file path=word/_rels/footer10.xml.rels><?xml version="1.0" encoding="UTF-8" standalone="yes"?><Relationships xmlns="http://schemas.openxmlformats.org/package/2006/relationships"></Relationships>
</file>

<file path=word/_rels/footer1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DD20D-13A5-4320-BCD4-2906DAC85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Rovdo</dc:creator>
  <cp:keywords/>
  <dc:description/>
  <dc:language>en-US</dc:language>
  <cp:lastModifiedBy>Александра Анненко</cp:lastModifiedBy>
  <cp:revision>89</cp:revision>
  <dcterms:created xsi:type="dcterms:W3CDTF">2025-12-11T14:46:00Z</dcterms:created>
  <dcterms:modified xsi:type="dcterms:W3CDTF">2026-03-03T11:24:58Z</dcterms:modified>
</cp:coreProperties>
</file>